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DISSERTATION </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ON</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THE INFLUENCE OF PORTFOLIO AT RISK ON FINANCIAL STABILITY IN FINANCIAL INSTITUTIONS: THE MODERATING ROLE OF THE CENTRAL BANK</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 A CASE STUDY OF  COMMERCIAL BANKS, FINANCIAL ISTITUTIONS</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AND   CLOSED BANKS CRISIS OF 2018</w:t>
      </w: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NAME: DANGILO MFUNDO</w:t>
      </w: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REG NO: DSM/MBA.PM/22/110637</w:t>
      </w: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6"/>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  Dissertation Submitted in Partial Fulfillment of the Requirements for the Degree of Masters Business Administration with Project Management of the Tanzania Institute of Accountancy.</w:t>
      </w:r>
    </w:p>
    <w:p>
      <w:pPr>
        <w:spacing w:before="0" w:after="20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2024</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THE INFLUENCE OF PORTFOLIO AT RISK ON FINANCIAL STABILITY IN FINANCIAL INSTITUTIONS: THE MODERATING ROLE OF THE CENTRAL BANK</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 A CASE STUDY OF  COMMERCIAL BANKS, FINANCIAL ISTITUTIONS</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r>
        <w:rPr>
          <w:rFonts w:ascii="Times New Roman" w:hAnsi="Times New Roman" w:cs="Times New Roman" w:eastAsia="Times New Roman"/>
          <w:b/>
          <w:color w:val="000000"/>
          <w:spacing w:val="0"/>
          <w:position w:val="0"/>
          <w:sz w:val="28"/>
          <w:shd w:fill="auto" w:val="clear"/>
        </w:rPr>
        <w:t xml:space="preserve">AND   CLOSED BANKS CRISIS OF 2018</w:t>
      </w:r>
    </w:p>
    <w:p>
      <w:pPr>
        <w:spacing w:before="0" w:after="0" w:line="360"/>
        <w:ind w:right="0" w:left="0" w:firstLine="0"/>
        <w:jc w:val="center"/>
        <w:rPr>
          <w:rFonts w:ascii="Times New Roman" w:hAnsi="Times New Roman" w:cs="Times New Roman" w:eastAsia="Times New Roman"/>
          <w:b/>
          <w:color w:val="000000"/>
          <w:spacing w:val="0"/>
          <w:position w:val="0"/>
          <w:sz w:val="28"/>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DANGILO MFUNDO</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  Dissertation Submitted in Partial Fulfillment of the Requirements for the Degree of Masters Business Administration with Project Management of the Tanzania Institute of Accountancy.</w:t>
      </w:r>
    </w:p>
    <w:p>
      <w:pPr>
        <w:spacing w:before="0" w:after="20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2024.</w:t>
      </w:r>
    </w:p>
    <w:p>
      <w:pPr>
        <w:keepNext w:val="true"/>
        <w:keepLines w:val="true"/>
        <w:widowControl w:val="false"/>
        <w:spacing w:before="240"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CERTIFICATION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undersigned certifies that he has read the research dissertation and is satisfied that this is the original work of Dangilo Mfundo</w:t>
      </w:r>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Titled: </w:t>
      </w:r>
      <w:r>
        <w:rPr>
          <w:rFonts w:ascii="Times New Roman" w:hAnsi="Times New Roman" w:cs="Times New Roman" w:eastAsia="Times New Roman"/>
          <w:b/>
          <w:i/>
          <w:color w:val="000000"/>
          <w:spacing w:val="0"/>
          <w:position w:val="0"/>
          <w:sz w:val="24"/>
          <w:shd w:fill="auto" w:val="clear"/>
        </w:rPr>
        <w:t xml:space="preserve">“The Influence of Portfolio at Risk on Financial Stability in Financial Institutions: The Moderating Role of The Central Bank. A Case Study of Commercial Banks, Financial Institutions And   Closed Banks Crisis Of 2018”, </w:t>
      </w:r>
      <w:r>
        <w:rPr>
          <w:rFonts w:ascii="Times New Roman" w:hAnsi="Times New Roman" w:cs="Times New Roman" w:eastAsia="Times New Roman"/>
          <w:color w:val="000000"/>
          <w:spacing w:val="0"/>
          <w:position w:val="0"/>
          <w:sz w:val="24"/>
          <w:shd w:fill="auto" w:val="clear"/>
        </w:rPr>
        <w:t xml:space="preserve">for the partial fulfillment of the requirements for the award of Masters of  Business Administration in Project Management of the Tanzania Institute of Accountancy.</w:t>
      </w:r>
    </w:p>
    <w:p>
      <w:pPr>
        <w:tabs>
          <w:tab w:val="center" w:pos="4680" w:leader="none"/>
          <w:tab w:val="left" w:pos="7602" w:leader="none"/>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Signature</w:t>
      </w:r>
    </w:p>
    <w:p>
      <w:pPr>
        <w:widowControl w:val="false"/>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Dr. Mwita</w:t>
      </w:r>
    </w:p>
    <w:p>
      <w:pPr>
        <w:widowControl w:val="false"/>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(Supervisor)</w:t>
      </w:r>
    </w:p>
    <w:p>
      <w:pPr>
        <w:widowControl w:val="false"/>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p>
    <w:p>
      <w:pPr>
        <w:widowControl w:val="false"/>
        <w:tabs>
          <w:tab w:val="center" w:pos="4680" w:leader="none"/>
          <w:tab w:val="left" w:pos="7602" w:leader="none"/>
        </w:tabs>
        <w:spacing w:before="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widowControl w:val="false"/>
        <w:spacing w:before="0" w:after="0" w:line="360"/>
        <w:ind w:right="0" w:left="0" w:hanging="14"/>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Date.</w:t>
      </w:r>
    </w:p>
    <w:p>
      <w:pPr>
        <w:keepNext w:val="true"/>
        <w:keepLines w:val="tru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DECLARATION</w:t>
      </w: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Dangilo Mfundo, do hereby declare to neither the Tanzania Institute of Accountancy that this dissertation is my original work and that it has neither been submitted nor being concurrently submitted for degree award in any other institution.</w:t>
      </w: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(Signature)</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 Dangilo Mfundo</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(student)</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Date</w:t>
      </w:r>
    </w:p>
    <w:p>
      <w:pPr>
        <w:spacing w:before="240" w:after="0" w:line="360"/>
        <w:ind w:right="0" w:left="0" w:firstLine="0"/>
        <w:jc w:val="center"/>
        <w:rPr>
          <w:rFonts w:ascii="Times New Roman" w:hAnsi="Times New Roman" w:cs="Times New Roman" w:eastAsia="Times New Roman"/>
          <w:color w:val="000000"/>
          <w:spacing w:val="0"/>
          <w:position w:val="0"/>
          <w:sz w:val="24"/>
          <w:shd w:fill="auto" w:val="clear"/>
        </w:rPr>
      </w:pP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widowControl w:val="false"/>
        <w:spacing w:before="240"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COPYRIGHT</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research dissertation is copyright material protected on intellectual property under the Berne Convention, the Copyright Act 1999, the Neighbouring Rights Act [Cap218 R.E.2002], and other International and national enactments on that behalf. It may not be reproduced by any means in whole or part, except for short extracts in fair dealings, for research or private study, critical scholarly review, or discourse with an acknowledgment, without the written permission of the Tanzania Institute of Accountancy (TIA), on behalf of the author.</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keepNext w:val="true"/>
        <w:keepLines w:val="true"/>
        <w:widowControl w:val="false"/>
        <w:spacing w:before="240"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DEDICATION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would like to dedicate my work to my family. They instilled in me a desire to learn and made sacrifices so I would have access to high-quality education. It is also dedicated to my close friends who have always supported me throughout my years of studies.</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keepNext w:val="true"/>
        <w:keepLines w:val="true"/>
        <w:widowControl w:val="false"/>
        <w:spacing w:before="240"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ACKNOWLEDGMENT</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First and foremost, I would like to show my gratitude and return to almighty God who is full of love, care for granting me healthy and life in everyday that make me well to accomplish my research process.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would like to express my sincere gratitude to the following individuals and organizations for their invaluable contributions and support throughout my dissertation on the “The Influence of Portfolio at Risk on Financial Stability in Financial Institutions: The Moderating Role of The Central Bank. A Case Study of Commercial Banks, Financial Institutions And Closed Banks Crisis Of 2018”</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extend my heartfelt appreciation to Dr. Mwita for his guidance, expert advice, and continuous encouragement throughout the dissertation process. His expertise and dedication played a pivotal role in shaping the quality and direction of this study.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sincerely thank the business owners from Commercial Banks, Financial Institutions in Dar es Salaam, Tanzania for granting me the necessary permissions to conduct this dissertation within their organization. </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Their cooperation and willingness to support academic endeavours were crucial in making this study possible. Their willingness to provide valuable insights, share their experiences, and consent to participate in this research dissertation significantly enriched the depth and breadth of the findings.</w:t>
      </w: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0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10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100" w:line="360"/>
        <w:ind w:right="0" w:left="0" w:firstLine="0"/>
        <w:jc w:val="both"/>
        <w:rPr>
          <w:rFonts w:ascii="Times New Roman" w:hAnsi="Times New Roman" w:cs="Times New Roman" w:eastAsia="Times New Roman"/>
          <w:b/>
          <w:color w:val="000000"/>
          <w:spacing w:val="0"/>
          <w:position w:val="0"/>
          <w:sz w:val="24"/>
          <w:shd w:fill="auto" w:val="clear"/>
        </w:rPr>
      </w:pPr>
    </w:p>
    <w:p>
      <w:pPr>
        <w:spacing w:before="0" w:after="160" w:line="360"/>
        <w:ind w:right="1440" w:left="1440" w:firstLine="0"/>
        <w:jc w:val="both"/>
        <w:rPr>
          <w:rFonts w:ascii="Times New Roman" w:hAnsi="Times New Roman" w:cs="Times New Roman" w:eastAsia="Times New Roman"/>
          <w:b/>
          <w:color w:val="000000"/>
          <w:spacing w:val="0"/>
          <w:position w:val="0"/>
          <w:sz w:val="24"/>
          <w:shd w:fill="auto" w:val="clear"/>
        </w:rPr>
      </w:pP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2.1.2 Lending and lending Procedures</w:t>
        <w:tab/>
        <w:t xml:space="preserve">8</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2.1.3 Financial Stability</w:t>
        <w:tab/>
      </w:r>
      <w:r>
        <w:rPr>
          <w:rFonts w:ascii="Times New Roman" w:hAnsi="Times New Roman" w:cs="Times New Roman" w:eastAsia="Times New Roman"/>
          <w:b/>
          <w:color w:val="000000"/>
          <w:spacing w:val="0"/>
          <w:position w:val="0"/>
          <w:sz w:val="24"/>
          <w:shd w:fill="auto" w:val="clear"/>
        </w:rPr>
        <w:t xml:space="preserve">ABSTRACT</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Portfolio at Risk (PAR) is a vital metric for assessing financial institution health, yet existing research often neglects its cumulative impact on financial stability and the effectiveness of central bank interventions in developing economies. This study addressed these gaps by investigating factors influencing PAR, its effects on financial stability, and the moderating role of central banks, guided by Modern Portfolio Theory (MPT), Agency Theory, and Financial Intermediation Theory. Using a cross-sectional mixed-methods approach, quantitative data were collected from 150 stakeholders in financial institutions, while qualitative insights were gathered from 12 key informants. The findings revealed that Loan Default Rates (B = 0.412, p = 0.000), Credit Risk Exposure (B = 0.305, p = 0.001), and Loan Loss Provisions (B = 0.325, p = 0.000) significantly increased PAR, while high Asset Quality (B = -0.220, p = 0.008) reduced it. Additionally, Economic Downturns (B = 0.187, p = 0.010) and Delinquency Rates (B = 0.307, p = 0.000) exacerbated PAR, impacting financial stability by lowering capital adequacy ratios, increasing non-performing loan ratios, and reducing returns on assets and equity. Respondents emphasized the importance of central bank interventions, such as regulatory adjustments and liquidity support, in mitigating these risks. For instance, monetary policy changes and supervisory measures were noted to strengthen risk management and stabilize institutions during economic downturns. The study concludes that effective PAR management is crucial for financial stability and recommends that financial institutions enhance risk assessment frameworks, adopt real-time loan monitoring, and maintain robust capital buffers. Central banks should enforce stricter regulatory measures and provide targeted liquidity support in times of economic distress. Future research should explore the long-term impact of such interventions across diverse financial systems.</w:t>
      </w:r>
    </w:p>
    <w:p>
      <w:pPr>
        <w:keepNext w:val="true"/>
        <w:keepLines w:val="true"/>
        <w:spacing w:before="240" w:after="0" w:line="259"/>
        <w:ind w:right="0" w:left="0" w:firstLine="0"/>
        <w:jc w:val="left"/>
        <w:rPr>
          <w:rFonts w:ascii="Times New Roman" w:hAnsi="Times New Roman" w:cs="Times New Roman" w:eastAsia="Times New Roman"/>
          <w:b/>
          <w:color w:val="000000"/>
          <w:spacing w:val="0"/>
          <w:position w:val="0"/>
          <w:sz w:val="24"/>
          <w:shd w:fill="auto" w:val="clear"/>
        </w:rPr>
      </w:pPr>
    </w:p>
    <w:p>
      <w:pPr>
        <w:spacing w:before="0" w:after="160" w:line="259"/>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OF CONTENTS</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CERTIFICATION</w:t>
        <w:tab/>
        <w:t xml:space="preserve">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DECLARATION</w:t>
        <w:tab/>
        <w:t xml:space="preserve">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COPYRIGHT</w:t>
        <w:tab/>
        <w:t xml:space="preserve">ii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DEDICATION</w:t>
        <w:tab/>
        <w:t xml:space="preserve">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ACKNOWLEDGMENT</w:t>
        <w:tab/>
        <w:t xml:space="preserve">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ABSTRACT</w:t>
        <w:tab/>
        <w:t xml:space="preserve">ii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ABBREVIATIONS</w:t>
        <w:tab/>
        <w:t xml:space="preserve">vi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TABLES</w:t>
        <w:tab/>
        <w:t xml:space="preserve">vii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FIGURES </w:t>
        <w:tab/>
        <w:t xml:space="preserve">viii</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APPENDICES </w:t>
        <w:tab/>
        <w:t xml:space="preserve">ix</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ONE</w:t>
        <w:tab/>
        <w:t xml:space="preserve">1</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INTRODUCTION</w:t>
        <w:tab/>
        <w:t xml:space="preserve">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1.0 Introduction</w:t>
        <w:tab/>
        <w:t xml:space="preserve">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1.1 Background of the study</w:t>
        <w:tab/>
        <w:t xml:space="preserve">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1.2 Statement of the problem</w:t>
        <w:tab/>
        <w:t xml:space="preserve">4</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1.3 Objective of the Study</w:t>
        <w:tab/>
        <w:t xml:space="preserve">5</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1.3.1 Broad Objective</w:t>
        <w:tab/>
        <w:t xml:space="preserve">5</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1.3.2 Specific Objectives</w:t>
        <w:tab/>
        <w:t xml:space="preserve">5</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1.4 Research Questions</w:t>
        <w:tab/>
        <w:t xml:space="preserve">5</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1.5 Significance of the Study</w:t>
        <w:tab/>
        <w:t xml:space="preserve">6</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TWO</w:t>
        <w:tab/>
        <w:t xml:space="preserve">7</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LITERATURE REVIEW</w:t>
        <w:tab/>
        <w:t xml:space="preserve">7</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2.0 Introduction</w:t>
        <w:tab/>
        <w:t xml:space="preserve">7</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 Definitions of Keys Terms</w:t>
        <w:tab/>
        <w:t xml:space="preserve">7</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2.1.1 Portfolio at risk</w:t>
        <w:tab/>
        <w:t xml:space="preserve">7</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9</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2.1.4 Non-Performing Loans (NPL)</w:t>
        <w:tab/>
        <w:t xml:space="preserve">9</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2.1.5 Capital Adequacy Ratio (CAR)</w:t>
        <w:tab/>
        <w:t xml:space="preserve">10</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2.1.6 Loan to Deposit Ratio (LDR)</w:t>
        <w:tab/>
        <w:t xml:space="preserve">10</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2.1.7 Central Bank Interventions</w:t>
        <w:tab/>
        <w:t xml:space="preserve">10</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2.1.8 Liquidity</w:t>
        <w:tab/>
        <w:t xml:space="preserve">11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2.2 Theoretical Framework</w:t>
        <w:tab/>
        <w:t xml:space="preserve">11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2.2.1. Modern Portfolio Theory (MPT)</w:t>
        <w:tab/>
        <w:t xml:space="preserve">11</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2.2.2 Agency Theory</w:t>
        <w:tab/>
        <w:t xml:space="preserve">13</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2.2.3 Financial Intermediation Theory</w:t>
        <w:tab/>
        <w:t xml:space="preserve">14</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2.3 Empirical Review</w:t>
        <w:tab/>
        <w:t xml:space="preserve">16</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2.3.1 Factors Contributing to Portfolio at Risk in Financial Institutions</w:t>
        <w:tab/>
        <w:t xml:space="preserve">16</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2.3.2 The Effect of Portfolio at Risk on the Financial Stability of Financial Institutions</w:t>
        <w:tab/>
        <w:t xml:space="preserve">18</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2.3.3 The Role of Central Bank Interventions in Moderating the Relationship Between Portfolio at Risk and Financial Stability</w:t>
        <w:tab/>
        <w:t xml:space="preserve">20</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2.4 Research Gap</w:t>
        <w:tab/>
        <w:t xml:space="preserve">22</w:t>
      </w:r>
    </w:p>
    <w:p>
      <w:pPr>
        <w:tabs>
          <w:tab w:val="right" w:pos="7680" w:leader="dot"/>
        </w:tabs>
        <w:spacing w:before="0" w:after="100" w:line="259"/>
        <w:ind w:right="0" w:left="24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2.5 Conceptual Framework</w:t>
        <w:tab/>
        <w:t xml:space="preserve">23</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THREE</w:t>
        <w:tab/>
        <w:t xml:space="preserve">26</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RESEARCH METHODOLOGY</w:t>
        <w:tab/>
        <w:t xml:space="preserve">26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3.0 Introduction</w:t>
        <w:tab/>
        <w:t xml:space="preserve">26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 Area of the Study</w:t>
        <w:tab/>
        <w:t xml:space="preserve">26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3.2 Research Design</w:t>
        <w:tab/>
        <w:t xml:space="preserve">26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3.3 Research Approach</w:t>
        <w:tab/>
        <w:t xml:space="preserve">27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3.3.1 Target Population</w:t>
        <w:tab/>
        <w:t xml:space="preserve">27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3.3.2 Sampling Frame</w:t>
        <w:tab/>
        <w:t xml:space="preserve">28</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3.3.3 Sample Size</w:t>
        <w:tab/>
        <w:t xml:space="preserve">28</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3.4 Sampling Type and Techniques</w:t>
        <w:tab/>
        <w:t xml:space="preserve">29</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3.5 Data Collection</w:t>
        <w:tab/>
        <w:t xml:space="preserve">31</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3.5.1 Primary Data</w:t>
        <w:tab/>
        <w:t xml:space="preserve">31</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3.5.2 Secondary Data</w:t>
        <w:tab/>
        <w:t xml:space="preserve">31</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3.6 Data Source</w:t>
        <w:tab/>
        <w:t xml:space="preserve">31</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3.7. Data Collection Methods</w:t>
        <w:tab/>
        <w:t xml:space="preserve">32</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3.7.1 Questionnaires</w:t>
        <w:tab/>
        <w:t xml:space="preserve">32</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3.7.2 Interviews</w:t>
        <w:tab/>
        <w:t xml:space="preserve">33</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3.8 Validity and Reliability</w:t>
        <w:tab/>
        <w:t xml:space="preserve">33</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3.8.1 Validity</w:t>
        <w:tab/>
        <w:t xml:space="preserve">33</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3.8.2 Reliability</w:t>
        <w:tab/>
        <w:t xml:space="preserve">34</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3.9 Data Analysis</w:t>
        <w:tab/>
        <w:t xml:space="preserve">34</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3.9.1 Quantitative Analysis</w:t>
        <w:tab/>
        <w:t xml:space="preserve">35</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3.9.2 Qualitative Analysis</w:t>
        <w:tab/>
        <w:t xml:space="preserve">35</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3.10 Regression Analysis</w:t>
        <w:tab/>
        <w:t xml:space="preserve">36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3.10.1 Model Specification</w:t>
        <w:tab/>
        <w:t xml:space="preserve">36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3.10.2 Tests for Assumptions of Linear Regression</w:t>
        <w:tab/>
        <w:t xml:space="preserve">37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3.10.3 Linearity Assumption Tests</w:t>
        <w:tab/>
        <w:t xml:space="preserve">37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3.10 Ethical Consideration</w:t>
        <w:tab/>
        <w:t xml:space="preserve">37</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FOUR</w:t>
        <w:tab/>
        <w:t xml:space="preserve">39</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RESENTATION OF THE FINDINGS AND DISCUSSION</w:t>
        <w:tab/>
        <w:t xml:space="preserve">39</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4.0 Introduction</w:t>
        <w:tab/>
        <w:t xml:space="preserve">39</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4.1 Demographic Characteristics</w:t>
        <w:tab/>
        <w:t xml:space="preserve">39</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4.2 Factors Contributing to Portfolio at Risk (PaR)</w:t>
        <w:tab/>
        <w:t xml:space="preserve">42</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4.3 Effects of Portfolio at Risk on Financial Stability</w:t>
        <w:tab/>
        <w:t xml:space="preserve">46</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4.4 Role of Central Bank Interventions in Moderating Portfolio at Risk and Financial Stability</w:t>
        <w:tab/>
        <w:t xml:space="preserve">50</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4.5.1 Relationship Between Central Bank Interventions and Financial Stability</w:t>
        <w:tab/>
        <w:t xml:space="preserve">52</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 Multiple Regression Analysis</w:t>
        <w:tab/>
        <w:t xml:space="preserve">58</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4.5.1 Normality Test</w:t>
        <w:tab/>
        <w:t xml:space="preserve">58</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4.5.2 Homoscedasticity Test</w:t>
        <w:tab/>
        <w:t xml:space="preserve">58</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4.5.3 Multicollinearity Test</w:t>
        <w:tab/>
        <w:t xml:space="preserve">59</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4.5.4 Outliers</w:t>
        <w:tab/>
        <w:t xml:space="preserve">60</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4.5.5 Linearity Test</w:t>
        <w:tab/>
        <w:t xml:space="preserve">61</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4.5.6 Regression Analysis</w:t>
        <w:tab/>
        <w:t xml:space="preserve">63</w:t>
      </w:r>
    </w:p>
    <w:p>
      <w:pPr>
        <w:tabs>
          <w:tab w:val="right" w:pos="7680" w:leader="dot"/>
        </w:tabs>
        <w:spacing w:before="0" w:after="10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4.5.7 Regression Analysis Results</w:t>
        <w:tab/>
        <w:t xml:space="preserve">64</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FIVE</w:t>
        <w:tab/>
        <w:t xml:space="preserve">66</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SUMMARY OF FINDINGS, CONCLUSIONS, AND RECOMMENDATIONS</w:t>
        <w:tab/>
        <w:t xml:space="preserve">66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5.1 Introduction</w:t>
        <w:tab/>
        <w:t xml:space="preserve">66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5.2 Summary of Findings</w:t>
        <w:tab/>
        <w:t xml:space="preserve">66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5.2.1 Factors Contributing to Portfolio at Risk in Financial Institutions</w:t>
        <w:tab/>
        <w:t xml:space="preserve">66</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5.2.2 Effect of Portfolio at Risk on Financial Stability</w:t>
        <w:tab/>
        <w:t xml:space="preserve">67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5.2.3 Role of Central Bank Interventions in Moderating Portfolio at Risk and Financial Stability</w:t>
        <w:tab/>
        <w:t xml:space="preserve">67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5.3 Conclusion of the Study</w:t>
        <w:tab/>
        <w:t xml:space="preserve">67</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5.4 Recommendations for The Interventions</w:t>
        <w:tab/>
        <w:t xml:space="preserve">68</w:t>
      </w:r>
    </w:p>
    <w:p>
      <w:pPr>
        <w:tabs>
          <w:tab w:val="right" w:pos="7680" w:leader="dot"/>
        </w:tabs>
        <w:spacing w:before="0" w:after="100" w:line="259"/>
        <w:ind w:right="0" w:left="100" w:hanging="24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5.5 Recommendations for Further Studies</w:t>
        <w:tab/>
        <w:t xml:space="preserve">68</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REFERENCES</w:t>
        <w:tab/>
        <w:t xml:space="preserve">70</w:t>
      </w:r>
    </w:p>
    <w:p>
      <w:pPr>
        <w:tabs>
          <w:tab w:val="right" w:pos="7680" w:leader="dot"/>
        </w:tabs>
        <w:spacing w:before="0" w:after="10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APPENDICES</w:t>
        <w:tab/>
        <w:t xml:space="preserve">74</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ABBREVIATIONS</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ADB</w:t>
        <w:tab/>
        <w:tab/>
        <w:t xml:space="preserve">- </w:t>
        <w:tab/>
        <w:t xml:space="preserve">African Development Bank</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BOT</w:t>
        <w:tab/>
        <w:tab/>
        <w:t xml:space="preserve">- </w:t>
        <w:tab/>
        <w:t xml:space="preserve">Bank of Tanzania</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CBT</w:t>
        <w:tab/>
        <w:tab/>
        <w:t xml:space="preserve">-</w:t>
        <w:tab/>
        <w:t xml:space="preserve">Central Bank of Tanzania</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FAO</w:t>
        <w:tab/>
        <w:tab/>
        <w:t xml:space="preserve">-</w:t>
        <w:tab/>
        <w:t xml:space="preserve">Food and Agriculture Organization</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GDP</w:t>
        <w:tab/>
        <w:tab/>
        <w:t xml:space="preserve">-</w:t>
        <w:tab/>
        <w:t xml:space="preserve">Gross Development Product</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MFIs</w:t>
        <w:tab/>
        <w:tab/>
        <w:t xml:space="preserve">-</w:t>
        <w:tab/>
        <w:t xml:space="preserve">Microfinance Institutions</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MPT</w:t>
        <w:tab/>
        <w:tab/>
        <w:t xml:space="preserve">- </w:t>
        <w:tab/>
        <w:t xml:space="preserve">Modern Portfolio Theory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ROA</w:t>
        <w:tab/>
        <w:tab/>
        <w:t xml:space="preserve">-</w:t>
        <w:tab/>
        <w:t xml:space="preserve">Return on Assets </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ROE</w:t>
        <w:tab/>
        <w:tab/>
        <w:t xml:space="preserve">-</w:t>
        <w:tab/>
        <w:t xml:space="preserve">Return on Equity </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UAE</w:t>
        <w:tab/>
        <w:tab/>
        <w:t xml:space="preserve">-</w:t>
        <w:tab/>
        <w:t xml:space="preserve">United Arab Emirates</w:t>
      </w:r>
    </w:p>
    <w:p>
      <w:pPr>
        <w:spacing w:before="0" w:after="0" w:line="360"/>
        <w:ind w:right="0" w:left="0" w:firstLine="0"/>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WB</w:t>
        <w:tab/>
        <w:tab/>
        <w:t xml:space="preserve">- </w:t>
        <w:tab/>
        <w:t xml:space="preserve">World Bank</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TABLES</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 : Demographic Information</w:t>
        <w:tab/>
        <w:t xml:space="preserve">40</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4.2 : Factors Contributing to Portfolio at Risk (PaR)</w:t>
        <w:tab/>
        <w:t xml:space="preserve">42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4.3 : Effects of Portfolio at Risk on Financial Stability</w:t>
        <w:tab/>
        <w:t xml:space="preserve">46</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4.4 : Role of Central Bank Interventions in Moderating Portfolio</w:t>
        <w:tab/>
        <w:t xml:space="preserve">51</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5.5 : Relationship Between Central Bank Interventions and Financial Stability</w:t>
        <w:tab/>
        <w:t xml:space="preserve">52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4.6 : Summary of Normality Test Results</w:t>
        <w:tab/>
        <w:t xml:space="preserve">58</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4.7 : Summary of Homoscedasticity Test Results</w:t>
        <w:tab/>
        <w:t xml:space="preserve">59</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4.8 : Multicollinearity Results</w:t>
        <w:tab/>
        <w:t xml:space="preserve">60</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4.9 : Outlier Analysis Results</w:t>
        <w:tab/>
        <w:t xml:space="preserve">61</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4.10 : Linearity Test (Correlation Matrix)</w:t>
        <w:tab/>
        <w:t xml:space="preserve">62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4.11 : Regression Diagnostics Model Summary</w:t>
        <w:tab/>
        <w:t xml:space="preserve">63</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4.12 : ANOVA Results</w:t>
        <w:tab/>
        <w:t xml:space="preserve">64</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4.13 : Multiple Regression Analysis Parameter Estimation Results</w:t>
        <w:tab/>
        <w:t xml:space="preserve">64</w:t>
      </w:r>
    </w:p>
    <w:p>
      <w:pPr>
        <w:spacing w:before="24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FIGURES</w:t>
      </w:r>
    </w:p>
    <w:p>
      <w:pPr>
        <w:widowControl w:val="false"/>
        <w:tabs>
          <w:tab w:val="right" w:pos="7680" w:leader="dot"/>
        </w:tabs>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Figure 2.1 Conceptual Framework</w:t>
        <w:tab/>
        <w:t xml:space="preserve">24</w:t>
      </w:r>
    </w:p>
    <w:p>
      <w:pPr>
        <w:widowControl w:val="false"/>
        <w:spacing w:before="24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 </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LIST OF APPENDICES </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 Demographic Information</w:t>
        <w:tab/>
        <w:t xml:space="preserve">40</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4.2: Factors Contributing to Portfolio at Risk (PaR)</w:t>
        <w:tab/>
        <w:t xml:space="preserve">42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4.3: Effects of Portfolio at Risk on Financial Stability</w:t>
        <w:tab/>
        <w:t xml:space="preserve">46</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4.4: Role of Central Bank Interventions in Moderating Portfolio</w:t>
        <w:tab/>
        <w:t xml:space="preserve">51</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5.5: Relationship Between Central Bank Interventions and Financial Stability</w:t>
        <w:tab/>
        <w:t xml:space="preserve">52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4.6: Summary of Normality Test Results</w:t>
        <w:tab/>
        <w:t xml:space="preserve">58</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4.7: Summary of Homoscedasticity Test Results</w:t>
        <w:tab/>
        <w:t xml:space="preserve">59</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4.8: Multicollinearity Results</w:t>
        <w:tab/>
        <w:t xml:space="preserve">60</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4.9: Outlier Analysis Results</w:t>
        <w:tab/>
        <w:t xml:space="preserve">61</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4.10: Linearity Test (Correlation Matrix)</w:t>
        <w:tab/>
        <w:t xml:space="preserve">62</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4.11: Regression Diagnostics Model Summary</w:t>
        <w:tab/>
        <w:t xml:space="preserve">63</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4.12: ANOVA Results</w:t>
        <w:tab/>
        <w:t xml:space="preserve">64</w:t>
      </w:r>
    </w:p>
    <w:p>
      <w:pPr>
        <w:tabs>
          <w:tab w:val="right" w:pos="7680" w:leader="dot"/>
        </w:tabs>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4.13: Multiple Regression Analysis Parameter Estimation Results</w:t>
        <w:tab/>
        <w:t xml:space="preserve">64</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widowControl w:val="false"/>
        <w:spacing w:before="240" w:after="0" w:line="360"/>
        <w:ind w:right="0" w:left="734"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ONE</w:t>
      </w:r>
    </w:p>
    <w:p>
      <w:pPr>
        <w:widowControl w:val="false"/>
        <w:spacing w:before="240" w:after="0" w:line="360"/>
        <w:ind w:right="0" w:left="734"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INTRODUCTION</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1.0 Introduction </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chapter has presented the introduction, motivation, and background to the research, the statement of the problem, the purpose of the study, the research objectives (general and specific objectives), the significance of the study, and the limitations. The central discussion on this topic shall be the background and statement of the problem. This chapter provided a clear roadmap to the research which  enabled effective accomplishment of this study. </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1.1 Background of the study </w:t>
      </w:r>
    </w:p>
    <w:p>
      <w:pPr>
        <w:spacing w:before="0" w:after="0" w:line="360"/>
        <w:ind w:right="-57"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Financial institutions are essential in facilitating economic activities by managing monetary transactions such as deposits, loans, investments, and currency exchanges. They connect individuals and businesses seeking funds with those capable of lending or investing, thereby supporting a functioning economy. These institutions include a wide range of entities such as banks, insurance companies, brokerage firms, and investment dealers, each varying in size, scope, and geographical reach (Ngonyani &amp; Mapesa, 2019; Smith &amp; Johnson, 2020). Moreover, effective portfolio management is critical for mitigating risks and ensuring financial stability. A portfolio refers to a collection of assets, such as stocks, bonds, debt instruments, and cash equivalents, which is strategically managed to balance risk and optimize returns (Kapoor, 2014; Brown &amp; Taylor, 2018). However, portfolios in financial institutions are vulnerable to several risks that may affect their performance. Among these, the concept of Portfolio at Risk (PAR) is a key indicator used to measure the proportion of a loan portfolio that is at risk of default, which is a crucial factor in assessing the quality of a financial institution’s assets and its exposure to credit risk (Jones, 2017).</w:t>
      </w:r>
    </w:p>
    <w:p>
      <w:pPr>
        <w:widowControl w:val="false"/>
        <w:spacing w:before="240" w:after="0" w:line="360"/>
        <w:ind w:right="-58"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Several factors contribute to Portfolio at Risk (PAR) in financial institutions, and these can be broadly categorized into regional risks, sectoral risks, and loan concentration risks. Firstly, regional risk factors, such as socio-demographic conditions, macroeconomic stability, geographical and ecological conditions, infrastructure, and political factors, create unstable lending environments that increase the likelihood of defaults (FAO, 2021; White &amp; Green, 2019). Secondly, sectoral risks, such as market structure, exposure to macroeconomic fluctuations, expected growth, and profitability in specific sectors, also contribute to portfolio risk. For instance, institutions lending heavily to volatile sectors face increased risks (Miller, 2019; Davis &amp; Lee, 2020). Finally, loan concentration risk arises when financial institutions concentrate lending in specific sectors or regions, which may result in higher exposure to risk due to the lack of diversification (Miller, 2019; Clark &amp; Adams, 2021). Together, these factors heighten the overall portfolio at risk, making risk management a priority for institutions.</w:t>
      </w:r>
    </w:p>
    <w:p>
      <w:pPr>
        <w:widowControl w:val="false"/>
        <w:spacing w:before="240" w:after="0" w:line="360"/>
        <w:ind w:right="-58"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When portfolio at risk rises, it can have significant consequences on financial stability. A high PAR can reduce profitability, lower capital adequacy, and strain liquidity within institutions. This situation may lead to a reduction in lending activities, limiting their competitiveness and potential for growth (Ongore &amp; Kusa, 2013; Patel &amp; Singh, 2018). Additionally, when financial institutions face significant portfolio risks, it may erode public confidence and disrupt the availability of credit, further impacting economic growth. Therefore, managing portfolio risks effectively is critical to maintaining the long-term stability of financial institutions.</w:t>
      </w:r>
    </w:p>
    <w:p>
      <w:pPr>
        <w:spacing w:before="0" w:after="0" w:line="360"/>
        <w:ind w:right="-57"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Central banks, as regulators, play a key role in mitigating portfolio risk through interventions such as adjusting interest rates, enforcing prudential guidelines, and providing liquidity support to financial institutions. These measures help institutions manage risks and ensure financial stability. For example, interest rate policies affect the cost of borrowing and lending, which directly impacts the level of risk in loan portfolios (Bernanke &amp; Gertler, 2001; Thompson &amp; Roberts, 2019). Additionally, central banks implement stress testing, capital adequacy requirements, and other regulatory frameworks to ensure that institutions can withstand financial shocks (Borio, 2014; Evans &amp; Parker, 2020). Globally, interventions by central banks have proven effective in stabilizing financial institutions, particularly during economic downturns. The Federal Reserve in the United States and the European Central Bank, for instance, used quantitative easing and other monetary policy tools to reduce portfolio risks during financial crises (IMF, 2020; Harris &amp; Martin, 2021).</w:t>
      </w:r>
    </w:p>
    <w:p>
      <w:pPr>
        <w:widowControl w:val="false"/>
        <w:spacing w:before="240" w:after="0" w:line="360"/>
        <w:ind w:right="-58"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In various continents, central bank interventions have been tailored to address region-specific challenges in managing portfolio risks. In the United States and Europe, expansive monetary policies, such as lowering policy rates and increasing asset purchases, have successfully lowered PAR and enhanced financial stability (Gambacorta et al., 2017; Wilson &amp; Clark, 2020). Likewise, regulatory frameworks, including the Basel III standards, have strengthened capital buffers, ensuring that financial institutions are better protected from risk (Adrian et al., 2018; Lewis &amp; Walker, 2021). In Asia, central banks have focused on liquidity management and credit risk reduction, leading to lower non-performing loans and improved financial stability (Nguyen &amp; Le, 2019; Kim &amp; Park, 2020). Meanwhile, in Sub-Saharan Africa, financial institutions often face higher portfolio risks due to economic instability and weaker regulatory frameworks. Central bank interventions in the region have aimed to stabilize financial sectors by tightening credit controls and promoting financial inclusion, though challenges remain (Beck &amp; Maimbo, 2013; Ncube &amp; Brixiová, 2020).</w:t>
      </w:r>
    </w:p>
    <w:p>
      <w:pPr>
        <w:widowControl w:val="false"/>
        <w:spacing w:before="240" w:after="0" w:line="360"/>
        <w:ind w:right="-58"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In Tanzania, the Bank of Tanzania (BoT) has been pivotal in regulating financial institutions to ensure stability. However, despite the central bank’s interventions, many financial institutions in the country continue to struggle with high portfolio risks, which impact their profitability and sustainability. The BoT has implemented various measures, such as adjusting interest rates and enforcing prudential guidelines, but the extent to which these measures have mitigated portfolio risk and ensured financial stability remains unclear (Bank of Tanzania, 2024). While the global context provides substantial insight into central bank interventions and their role in reducing portfolio risk, there is limited research on how these dynamics play out in Tanzania.</w:t>
      </w:r>
    </w:p>
    <w:p>
      <w:pPr>
        <w:widowControl w:val="false"/>
        <w:spacing w:before="240" w:after="0" w:line="360"/>
        <w:ind w:right="-58"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In summary, while there is substantial global evidence on how central bank interventions mitigate risks in financial institutions, there remains a gap in understanding how these interventions impact portfolio at risk and financial stability in Tanzania. The existing studies do not adequately explore the specific factors influencing portfolio at risk in Tanzanian financial institutions, nor do they thoroughly assess the effectiveness of the Bank of Tanzania’s interventions. This study seeks to fill that gap by investigating the factors that contribute to portfolio at risk in Tanzania and examining how central bank interventions moderate the relationship between portfolio risk and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1.2 Statement of the problem</w:t>
      </w:r>
    </w:p>
    <w:p>
      <w:pPr>
        <w:spacing w:before="0" w:after="0" w:line="360"/>
        <w:ind w:right="0"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The stability of financial institutions is critical for the broader economy, yet their resilience is constantly threatened by factors that increase their Portfolio at Risk (PAR). Globally, fluctuations in PAR have been linked to deteriorating loan quality, rising non-performing loans, and shifts in macroeconomic conditions, which significantly undermine the stability of financial systems (Kaaya &amp; Pastor, 2013). In Tanzania, many financial institutions face increased PAR due to poor credit management, weak lending procedures, and economic uncertainties, resulting in reduced profitability and heightened vulnerability (Migdad, 2022). As financial institutions struggle with these risks, their capacity to maintain liquidity and meet their financial obligations is compromised, placing the entire financial sector at risk of destabilization (World Bank, 2020).</w:t>
      </w:r>
    </w:p>
    <w:p>
      <w:pPr>
        <w:widowControl w:val="false"/>
        <w:spacing w:before="240" w:after="0" w:line="360"/>
        <w:ind w:right="0"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Various interventions have been implemented to address the challenges posed by high PAR. Financial institutions have introduced more stringent credit approval processes, improved risk assessment tools, and enhanced loan monitoring procedures to mitigate the risks associated with PAR (BoT, 2023). Central banks, as regulatory authorities, have also played a key role in stabilizing the financial sector by imposing capital adequacy requirements, overseeing credit management practices, and enforcing regulatory frameworks to protect the integrity of financial institutions (Danga &amp; Mashala, 2019). However, despite these efforts, the effectiveness of these interventions remains limited, as PAR levels in some financial institutions continue to rise, highlighting a gap in the ability of regulatory measures to sufficiently safeguard financial stability.</w:t>
      </w:r>
    </w:p>
    <w:p>
      <w:pPr>
        <w:widowControl w:val="false"/>
        <w:spacing w:before="240" w:after="0" w:line="360"/>
        <w:ind w:right="0"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What is missing in the current literature and interventions is a comprehensive understanding of the moderating role that central banks, specifically through their interventions in lending procedures, play in influencing the relationship between PAR and financial stability. While there is general recognition of the role of central banks in mitigating financial risks, little has been done to assess how central bank interventions directly affect the impact of PAR on the stability of financial institutions (Smith, 2020). Without a deeper exploration of this moderating role, financial institutions may remain exposed to the adverse consequences of rising PAR, risking not only institutional instability but also systemic crises within the broader financial sector.</w:t>
      </w:r>
    </w:p>
    <w:p>
      <w:pPr>
        <w:widowControl w:val="false"/>
        <w:spacing w:before="240" w:after="0" w:line="360"/>
        <w:ind w:right="0" w:left="0" w:firstLine="0"/>
        <w:jc w:val="both"/>
        <w:rPr>
          <w:rFonts w:ascii="Times New Roman" w:hAnsi="Times New Roman" w:cs="Times New Roman" w:eastAsia="Times New Roman"/>
          <w:color w:val="000000"/>
          <w:spacing w:val="1"/>
          <w:position w:val="0"/>
          <w:sz w:val="24"/>
          <w:shd w:fill="FFFFFF" w:val="clear"/>
        </w:rPr>
      </w:pPr>
      <w:r>
        <w:rPr>
          <w:rFonts w:ascii="Times New Roman" w:hAnsi="Times New Roman" w:cs="Times New Roman" w:eastAsia="Times New Roman"/>
          <w:color w:val="000000"/>
          <w:spacing w:val="1"/>
          <w:position w:val="0"/>
          <w:sz w:val="24"/>
          <w:shd w:fill="FFFFFF" w:val="clear"/>
        </w:rPr>
        <w:t xml:space="preserve">The consequences of inaction on this issue are severe. If the relationship between PAR and financial stability is not properly managed and moderated, financial institutions could face increased insolvency risks, loss of investor confidence, and diminished public trust in the banking system (Migdad, 2022). This would not only harm individual institutions but could also trigger a domino effect, where the failure of one institution weakens others, potentially leading to a systemic financial crisis (World Bank, 2020). Such crises can have long-term economic consequences, including reduced credit availability for businesses and consumers, economic contractions, and increased unemployment rates. Therefore, immediate action is required to assess and address the factors contributing to PAR and enhance the effectiveness of central bank interventions in safeguarding financial stability.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1.3 Objective of the Study</w:t>
      </w:r>
    </w:p>
    <w:p>
      <w:pPr>
        <w:keepNext w:val="true"/>
        <w:keepLines w:val="true"/>
        <w:widowControl w:val="false"/>
        <w:spacing w:before="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1.3.1 Broad Objective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assess the impact of portfolio at risk on the financial stability of financial institutions and explore how central bank interventions moderate this relationship.</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1.3.2 Specific Objectives</w:t>
      </w:r>
    </w:p>
    <w:p>
      <w:pPr>
        <w:numPr>
          <w:ilvl w:val="0"/>
          <w:numId w:val="85"/>
        </w:numPr>
        <w:spacing w:before="0" w:after="160" w:line="360"/>
        <w:ind w:right="0" w:left="720" w:hanging="360"/>
        <w:jc w:val="both"/>
        <w:rPr>
          <w:rFonts w:ascii="Times New Roman" w:hAnsi="Times New Roman" w:cs="Times New Roman" w:eastAsia="Times New Roman"/>
          <w:color w:val="000000"/>
          <w:spacing w:val="0"/>
          <w:position w:val="0"/>
          <w:sz w:val="8"/>
          <w:shd w:fill="auto" w:val="clear"/>
        </w:rPr>
      </w:pPr>
      <w:r>
        <w:rPr>
          <w:rFonts w:ascii="Times New Roman" w:hAnsi="Times New Roman" w:cs="Times New Roman" w:eastAsia="Times New Roman"/>
          <w:color w:val="000000"/>
          <w:spacing w:val="0"/>
          <w:position w:val="0"/>
          <w:sz w:val="24"/>
          <w:shd w:fill="auto" w:val="clear"/>
        </w:rPr>
        <w:t xml:space="preserve">To determine the factors that contribute to portfolio at risk in financial institutions.</w:t>
      </w:r>
    </w:p>
    <w:p>
      <w:pPr>
        <w:numPr>
          <w:ilvl w:val="0"/>
          <w:numId w:val="85"/>
        </w:numPr>
        <w:spacing w:before="0" w:after="160" w:line="360"/>
        <w:ind w:right="0" w:left="720" w:hanging="360"/>
        <w:jc w:val="both"/>
        <w:rPr>
          <w:rFonts w:ascii="Times New Roman" w:hAnsi="Times New Roman" w:cs="Times New Roman" w:eastAsia="Times New Roman"/>
          <w:color w:val="000000"/>
          <w:spacing w:val="0"/>
          <w:position w:val="0"/>
          <w:sz w:val="8"/>
          <w:shd w:fill="auto" w:val="clear"/>
        </w:rPr>
      </w:pPr>
      <w:r>
        <w:rPr>
          <w:rFonts w:ascii="Times New Roman" w:hAnsi="Times New Roman" w:cs="Times New Roman" w:eastAsia="Times New Roman"/>
          <w:color w:val="000000"/>
          <w:spacing w:val="0"/>
          <w:position w:val="0"/>
          <w:sz w:val="24"/>
          <w:shd w:fill="auto" w:val="clear"/>
        </w:rPr>
        <w:t xml:space="preserve"> To assess the effect of portfolio at risk on the financial stability of financial institutions.</w:t>
      </w:r>
    </w:p>
    <w:p>
      <w:pPr>
        <w:numPr>
          <w:ilvl w:val="0"/>
          <w:numId w:val="85"/>
        </w:numPr>
        <w:spacing w:before="0" w:after="160" w:line="360"/>
        <w:ind w:right="0" w:left="720" w:hanging="360"/>
        <w:jc w:val="both"/>
        <w:rPr>
          <w:rFonts w:ascii="Times New Roman" w:hAnsi="Times New Roman" w:cs="Times New Roman" w:eastAsia="Times New Roman"/>
          <w:color w:val="000000"/>
          <w:spacing w:val="0"/>
          <w:position w:val="0"/>
          <w:sz w:val="8"/>
          <w:shd w:fill="auto" w:val="clear"/>
        </w:rPr>
      </w:pPr>
      <w:r>
        <w:rPr>
          <w:rFonts w:ascii="Times New Roman" w:hAnsi="Times New Roman" w:cs="Times New Roman" w:eastAsia="Times New Roman"/>
          <w:color w:val="000000"/>
          <w:spacing w:val="0"/>
          <w:position w:val="0"/>
          <w:sz w:val="24"/>
          <w:shd w:fill="auto" w:val="clear"/>
        </w:rPr>
        <w:t xml:space="preserve">To determine the role of central bank interventions in moderating the relationship between portfolio at risk and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1.4 Research Questions</w:t>
      </w:r>
    </w:p>
    <w:p>
      <w:pPr>
        <w:numPr>
          <w:ilvl w:val="0"/>
          <w:numId w:val="87"/>
        </w:numPr>
        <w:tabs>
          <w:tab w:val="left" w:pos="515" w:leader="none"/>
        </w:tabs>
        <w:spacing w:before="0" w:after="0" w:line="360"/>
        <w:ind w:right="0" w:left="515" w:hanging="425"/>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factors contribute to portfolio at risk in financial institutions?</w:t>
      </w:r>
    </w:p>
    <w:p>
      <w:pPr>
        <w:numPr>
          <w:ilvl w:val="0"/>
          <w:numId w:val="87"/>
        </w:numPr>
        <w:tabs>
          <w:tab w:val="left" w:pos="515" w:leader="none"/>
        </w:tabs>
        <w:spacing w:before="0" w:after="0" w:line="360"/>
        <w:ind w:right="0" w:left="515" w:hanging="425"/>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the direct effect of portfolio at risk on the financial stability of financial institutions?</w:t>
      </w:r>
    </w:p>
    <w:p>
      <w:pPr>
        <w:numPr>
          <w:ilvl w:val="0"/>
          <w:numId w:val="87"/>
        </w:numPr>
        <w:tabs>
          <w:tab w:val="left" w:pos="515" w:leader="none"/>
        </w:tabs>
        <w:spacing w:before="0" w:after="0" w:line="360"/>
        <w:ind w:right="0" w:left="515" w:hanging="425"/>
        <w:jc w:val="left"/>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interventions influence the relationship between portfolio at risk and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1.5 Significance of the Study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Firstly, financial institutions play a big role in economic and social development in Sub - Saharan countries, including Tanzania country. Most of these financial institutions are facing some challenges, including portfolio at risk. The central question here was , which are the factors influencing portfolio at risk in financial institutions in Tanzania? The main interest to this research is to provide in depth understanding on factors which leads to portfolio at risk in financial institutions that can provide a clear and general understanding of the research topic.</w:t>
      </w:r>
    </w:p>
    <w:p>
      <w:pPr>
        <w:spacing w:before="0" w:after="0" w:line="360"/>
        <w:ind w:right="0" w:left="0" w:firstLine="0"/>
        <w:jc w:val="both"/>
        <w:rPr>
          <w:rFonts w:ascii="Times New Roman" w:hAnsi="Times New Roman" w:cs="Times New Roman" w:eastAsia="Times New Roman"/>
          <w:color w:val="000000"/>
          <w:spacing w:val="0"/>
          <w:position w:val="0"/>
          <w:sz w:val="4"/>
          <w:shd w:fill="auto" w:val="clear"/>
        </w:rPr>
      </w:pP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Secondly, central banks particularly Bank of Tanzania (BoT) has the mandate to monitor all financial institutions in Tanzania; and ensure their sustainability and growth. The central bank set policies and procedures to help all financial institutions in Tanzania in their day-to-day operations; but Portfolio at risk in financial institutions can underpin sustainability and growth. Therefore, the study aimed at responding to the question which asks how the central bank can help financial institutions from entering into portfolio at risk. </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Finally, different interventions can be taken to help financial institutions from portfolio at risk. The interventions should base on the reality, based on the nature of the challenging factors for portfolio at risk in the financial institutions. Central bank is the one to take measures to help financial institutions from portfolio at risk. Therefore, the main question here shall be how the central bank use lending procedures as an intervention strategy for portfolio at risk in financial institutions</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TWO</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LITERATURE REVIEW</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2.0 Introduction  </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study, this chapter on Literature review is comprised of conceptual definitions for portfolio at risk, and lending procedures</w:t>
      </w:r>
      <w:r>
        <w:rPr>
          <w:rFonts w:ascii="Times New Roman" w:hAnsi="Times New Roman" w:cs="Times New Roman" w:eastAsia="Times New Roman"/>
          <w:b/>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theoretical review, empirical analysis of relevant studies, identified research gaps, and conceptual frame work.</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 Definitions of Keys Terms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section of this study, the researcher covered key words of the study topic which are portfolio at risk and Revenues and lending procedures.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2.1.1 Portfolio at risk</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Portfolio risk is a chance that the combination of assets or units, within the investments that you own, fail to meet financial objectives. Each investment within a portfolio carries its own risk, with higher potential return typically meaning higher risk. The loan portfolio at risk is defined as the value of the outstanding balance of all loans in arrears (principal). The Loan Portfolio at Risk is generally expressed as a percentage rate of the total loan portfolio currently outstanding (WB, 2001)</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color w:val="000000"/>
          <w:spacing w:val="0"/>
          <w:position w:val="0"/>
          <w:sz w:val="24"/>
          <w:shd w:fill="FFFFFF" w:val="clear"/>
        </w:rPr>
        <w:t xml:space="preserve">In theory, portfolio risk can be eliminated by successful diversification: holding combinations of investments that do not depend on the same circumstances to return a profit. In reality, though, it is more probable that risks was  minimized and not eliminated entirely (Danga &amp; Mashala, 2019). Most risks apply to individual investments, but it is also important to ensure that the portfolio as a whole doesn’t end up working against others. In many countries in the world, financial institutions are getting some challenges which put those institutions to disappear and poor service provisions. Each country has different strategies to ensure that those financial institutions becoming suitable, and one of the most common strategy is through lending procedures. </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order to achieve its aims of lending financial institutions, the central Bank will establish a sector portfolio investment strategy in conformity with its priorities and objectives. Each operation is evaluated on its own merit, including the risks inherent to the particular sector of economic activity (Sharma, 2006). Sector development is very dynamic and can prone to fluctuations due to international factors as well as regional and national ones. Therefore, the central Bank will continuously monitor the sectorial concentration of its loan, guarantees and equity investments. However, sector diversification is possible more on the regional level and less on the country level. Due to the fact that the Bank may nevertheless have a high risk due to excessive concentration of exposure, sector limits may be established by the Management Committee following a recommendation to this effect made by the Department of Risk Management (Danga &amp; Mashala, 2019).</w:t>
      </w: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2.1.2 Lending and lending Procedures</w:t>
      </w:r>
    </w:p>
    <w:p>
      <w:pPr>
        <w:widowControl w:val="false"/>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Lending is the process by which a financial institution provides funds to a borrower. Often called a lender, the institution typically receives interest in return for the loan (ADB, 2017). Lending in banking benefits lenders and borrowers alike by increasing liquidity within the marketplaces where loans are originated and used. </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6"/>
          <w:position w:val="0"/>
          <w:sz w:val="24"/>
          <w:shd w:fill="auto" w:val="clear"/>
        </w:rPr>
        <w:t xml:space="preserve">The following are lending procedures done by most of the financial institutions, namely;</w:t>
      </w:r>
      <w:r>
        <w:rPr>
          <w:rFonts w:ascii="Times New Roman" w:hAnsi="Times New Roman" w:cs="Times New Roman" w:eastAsia="Times New Roman"/>
          <w:color w:val="000000"/>
          <w:spacing w:val="-6"/>
          <w:position w:val="0"/>
          <w:sz w:val="24"/>
          <w:shd w:fill="FCFCFC" w:val="clear"/>
        </w:rPr>
        <w:t xml:space="preserve"> </w:t>
      </w:r>
      <w:r>
        <w:rPr>
          <w:rFonts w:ascii="Times New Roman" w:hAnsi="Times New Roman" w:cs="Times New Roman" w:eastAsia="Times New Roman"/>
          <w:color w:val="000000"/>
          <w:spacing w:val="0"/>
          <w:position w:val="0"/>
          <w:sz w:val="24"/>
          <w:shd w:fill="FFFFFF" w:val="clear"/>
        </w:rPr>
        <w:t xml:space="preserve">Loan origination, Risk evaluation, Credit decision, Underwriting, Collateral management, Debt collection, Loan servicing, Reporting, Supervision, and Regulatory compliance. In lending process, there are issues to be observed such as </w:t>
      </w:r>
      <w:r>
        <w:rPr>
          <w:rFonts w:ascii="Times New Roman" w:hAnsi="Times New Roman" w:cs="Times New Roman" w:eastAsia="Times New Roman"/>
          <w:color w:val="000000"/>
          <w:spacing w:val="0"/>
          <w:position w:val="0"/>
          <w:sz w:val="24"/>
          <w:shd w:fill="auto" w:val="clear"/>
        </w:rPr>
        <w:t xml:space="preserve">Credit facilities, nature of loan and advances, ways of improving the lending policies and measures on how money could be recovered</w:t>
      </w:r>
      <w:r>
        <w:rPr>
          <w:rFonts w:ascii="Times New Roman" w:hAnsi="Times New Roman" w:cs="Times New Roman" w:eastAsia="Times New Roman"/>
          <w:b/>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auto" w:val="clear"/>
        </w:rPr>
        <w:t xml:space="preserve">(Morshedur, Kamal Uddin &amp; Ul-Huq, 2015). </w:t>
      </w:r>
    </w:p>
    <w:p>
      <w:pPr>
        <w:spacing w:before="0" w:after="0" w:line="360"/>
        <w:ind w:right="0" w:left="0" w:firstLine="0"/>
        <w:jc w:val="both"/>
        <w:rPr>
          <w:rFonts w:ascii="Times New Roman" w:hAnsi="Times New Roman" w:cs="Times New Roman" w:eastAsia="Times New Roman"/>
          <w:color w:val="000000"/>
          <w:spacing w:val="0"/>
          <w:position w:val="0"/>
          <w:sz w:val="10"/>
          <w:shd w:fill="auto" w:val="clear"/>
        </w:rPr>
      </w:pP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issue of lending, it is important to consider the issue of loans. Gardner (1992), and Tadeo A Satta, (2003), explained that ‘’ Loan and Advances are important to banks because they account for a large proportion of their income’’. Persuasion method is the most acceptable strategy in the recovery of loan. More so the effect of non-performing loans on the operations of the banks has led to the reduction in their project financing and other financial assistance is being rendered to the general public.</w:t>
      </w:r>
    </w:p>
    <w:p>
      <w:pPr>
        <w:spacing w:before="0" w:after="0" w:line="360"/>
        <w:ind w:right="0" w:left="0" w:firstLine="0"/>
        <w:jc w:val="both"/>
        <w:rPr>
          <w:rFonts w:ascii="Times New Roman" w:hAnsi="Times New Roman" w:cs="Times New Roman" w:eastAsia="Times New Roman"/>
          <w:color w:val="000000"/>
          <w:spacing w:val="0"/>
          <w:position w:val="0"/>
          <w:sz w:val="13"/>
          <w:shd w:fill="auto" w:val="clear"/>
        </w:rPr>
      </w:pP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proper running of the financial institution, each financial portfolio should have a thinking of reducing its loads and lending. The need to reduce the attendants’ problem on loan, the recommendations made include, Proper implementation of the failed bank decree without favoritism on part of tribunal in discharging their duties. Bank of Tanzania should improve on its supervision, and examinations of banks (Tarimo, 2017). Banks should have good quality risk analysis, effective credit control and close supervision on disbursement and the up-to-date knowledge of the borrowers’ activities as well as adequate care should be taken to ensure that collateral; is marketable and should be free from any encumbrances.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2.1.3 Financial Stability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Financial Stability refers to the ability of financial institutions to perform their functions efficiently without disruptions in their operations, liquidity, or solvency. It has been defined as the condition in which the financial system </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including financial intermediaries, markets, and market infrastructures </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can withstand shocks without significantly impairing financial intermediation and the broader economy (Schinasi, 2004). Mishkin (1999) emphasizes that financial stability prevents adverse systemic effects from spreading across institutions or markets. Another definition by Allen and Wood (2006) highlights the importance of maintaining robust risk management practices and sufficient capital to ensure stability. This concept has been widely explored in the context of regulatory policies and macroeconomic impacts on financial institutions. For instance, Claessens and Kodres (2014) analyzed how policy responses during the global financial crisis were targeted at restoring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2.1.4 Non-Performing Loans (NPL)</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Non-Performing Loans (NPL) are loans in which borrowers have fallen behind on scheduled payments, typically defined as delinquency of 90 days or more (Beck, 2011). According to Louzis, Vouldis, and Metaxas (2012), NPLs are one of the most prominent indicators of a bank’s credit risk, directly affecting the Portfolio at Risk (PAR). Ghosh (2017) expands on this by emphasizing the link between NPLs and the overall creditworthiness of the institution, with rising levels of NPLs threatening financial stability. NPLs have been used extensively in studies on financial crises and banking stability. For example, Quagliariello (2007) explored the effects of NPLs during economic downturns and their consequences on financial institutions' capital reserves.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2.1.5 Capital Adequacy Ratio (CAR)</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Capital Adequacy Ratio (CAR) is a regulatory measure used to assess a financial institution’s capacity to absorb losses and protect depositors by maintaining sufficient capital reserves. Basel Committee on Banking Supervision (2011) defines CAR as the ratio of a bank’s capital to its risk-weighted assets. According to Kosmidou, Pasiouras, and Zopounidis (2008), CAR serves as a buffer against financial instability by ensuring that banks have enough capital to cover losses. Saunders and Cornett (2018) also stress that CAR helps mitigate the risk of insolvency by forcing institutions to hold a minimum level of capital relative to their risk exposure. CAR has been a critical focus of studies related to regulatory frameworks, particularly in the context of Basel III requirements. In their research, Laeven and Levine (2009) analyzed how higher CAR ratios contribute to banking sector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2.1.6 Loan to Deposit Ratio (LDR)</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Loan to Deposit Ratio (LDR) is the ratio between a financial institution's total loans and total deposits, reflecting its liquidity and operational efficiency. Dietrich and Wanzenried (2011) describe LDR as a crucial metric in assessing a bank’s ability to cover withdrawals from depositors while lending profitably. According to Boateng and Adam (2017), a higher LDR indicates that the institution is lending more of its deposits, which could increase profitability but may also increase liquidity risk. Ozili (2018) emphasizes that maintaining an appropriate LDR is necessary to ensure that banks balance their risk exposure with liquidity needs. This ratio has been widely used in studies assessing banking liquidity, as well as in analyses of bank failures and financial crises (Diamond &amp; Rajan, 2001).</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2.1.7 Central Bank Interventions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Central Bank Interventions refer to actions taken by a central bank to regulate and stabilize the financial system. According to Bernanke and Blinder (1992), these interventions can include changes in interest rates, open market operations, and regulatory policies aimed at controlling inflation and supporting economic growth. Cecchetti and Schoenholtz (2017) highlight that central bank interventions are critical during financial crises, as they provide liquidity to struggling institutions and ensure systemic stability. Central bank interventions have been analyzed in numerous studies on monetary policy and macroeconomic stability. For instance, Gertler and Karadi (2011) examined how central bank policies influenced the post-crisis recovery of financial institutions.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2.1.8 Liquidity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Liquidity is defined as the ability of a financial institution to meet its short-term obligations using assets that can be quickly converted into cash. Brunnermeier and Pedersen (2009) emphasize that liquidity is essential for banks to remain solvent and avoid insolvency risk. Diamond and Dybvig (1983) define liquidity in terms of a bank's ability to honor deposit withdrawals and fund loans without incurring significant losses. Additionally, Acharya and Naqvi (2012) discuss how liquidity shortages can lead to severe crises in financial institutions, exacerbating systemic risks. Liquidity management has been a focal point in many studies analyzing banking resilience during financial crises, such as the 2008 global financial meltdown (Allen &amp; Gale, 2004).</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2.2 Theoretical Framework</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Theoretical framework consists of a group or set of theories which act as a background and guide the investigation in question (Orodho, 2005). According to Kerlinger (1983) theories are statements that explain a particular segment of phenomena by specifying certain relationships among variables. The study was  supported by only one theory, Modern Portfolio Theory (MPT)</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2.2.1. Modern Portfolio Theory (MPT)</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Modern Portfolio Theory (MPT) refers to an investment theory that allows investors to assemble an asset portfolio that maximizes expected return for a given level of risk. The theory assumes that investors are risk-averse; for a given level of expected return, investors will always prefer the less risky portfolio. According to Liu (2022), the Modern Portfolio Theory (MPT) is a quantitative theory that explains the correct of the logic of investment which was pioneered by an American economist called Harry Markowitz in 1952, which creates a new frontier for investment theory. If it is applied properly, this theory can help the investor to choose the optimal portfolio theory depending on their attitude and goal when they chose the portfolio. There is a strong need for a novel approach, especially for concluding extra costs when investors calculate the risk-adjusted returns. After that, this theory is using historical data to calculate the expected data. Those limitations will influence the choice of optimal portfolio theory (Liu, 2022).</w:t>
      </w:r>
    </w:p>
    <w:p>
      <w:pPr>
        <w:spacing w:before="0" w:after="0" w:line="360"/>
        <w:ind w:right="0" w:left="0" w:firstLine="0"/>
        <w:jc w:val="both"/>
        <w:rPr>
          <w:rFonts w:ascii="Times New Roman" w:hAnsi="Times New Roman" w:cs="Times New Roman" w:eastAsia="Times New Roman"/>
          <w:color w:val="000000"/>
          <w:spacing w:val="0"/>
          <w:position w:val="0"/>
          <w:sz w:val="8"/>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As it is known, a Portfolio is like a box, it can contain any number of assets with differing proportions. In addition, the portfolio theory is a method for selecting investments to maximize the overall returns within an acceptable level of risk. The key strategy in this theory is to utilize diversification to minimize or avoid idiosyncratic risk. Abhinav Angirish, managing director of Abchlor Investment Advisors, says that if you want to diversify your portfolio, look for unrelated stocks or funds. Avoid duplicate assets or assets that are related to the performance by measuring the assets currently owned by the fund. This proves that the more uncorrelated an asset is, the more it can hedge against risks other than market risk. For example, buying fixed income assets, and non-fixed income assets to achieve the effect of hedging. While investing in fixed-income assets may reduce income, it can reduce risk and volatility (Liu,2022). </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theory more focuses on the risks and returns of the overall portfolio of assets, not a single particular asset. First of all, this theory uses diversification, which is the portfolio allocation strategy to decrease the volatility, or to be specific, reduce the return change that is influenced by idiosyncratic risk by using the negative correlation asset (Liu, 2022). In addition, decrease the correlation of assets that are in the portfolio in order to realize diversification. In the theory this risk is also known as unsystematic risk. This can be best evidenced by the fact that happened in the energy sector, especially the risk for the oil company. </w:t>
      </w:r>
    </w:p>
    <w:p>
      <w:pPr>
        <w:spacing w:before="0" w:after="0" w:line="360"/>
        <w:ind w:right="0" w:left="0" w:firstLine="0"/>
        <w:jc w:val="both"/>
        <w:rPr>
          <w:rFonts w:ascii="Times New Roman" w:hAnsi="Times New Roman" w:cs="Times New Roman" w:eastAsia="Times New Roman"/>
          <w:color w:val="000000"/>
          <w:spacing w:val="0"/>
          <w:position w:val="0"/>
          <w:sz w:val="6"/>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Moreover, this causes a decrease in the shareholders' potential benefits, further driving down the company's stock price. Overall, this tactic is to gain a more stable rate of return. Because on the negative correlation of asset can offset the loss of another asset. Negatively correlated assets mean two assets tend to move in opposite directions, it is simply one stock loss and one stock gain during the same period. Thus, those two stocks can be hedging the risk. Unfortunately, this also means the potential return will decrease (Liu, 2022). On top of that, portfolio theory can represent graphically. Using the graph to find the optimal portfolio, this depends on the investor’s tolerance for the level of risk. </w:t>
      </w:r>
      <w:r>
        <w:rPr>
          <w:rFonts w:ascii="Times New Roman" w:hAnsi="Times New Roman" w:cs="Times New Roman" w:eastAsia="Times New Roman"/>
          <w:color w:val="000000"/>
          <w:spacing w:val="0"/>
          <w:position w:val="0"/>
          <w:sz w:val="24"/>
          <w:shd w:fill="FFFFFF" w:val="clear"/>
        </w:rPr>
        <w:t xml:space="preserve">Therefore, this study was  using MPT theory due to the fact that it will focus much on the portfolio investments and operations in neural. In this study, the theory was  used to respond the specific objectives of this study which are: t</w:t>
      </w:r>
      <w:r>
        <w:rPr>
          <w:rFonts w:ascii="Times New Roman" w:hAnsi="Times New Roman" w:cs="Times New Roman" w:eastAsia="Times New Roman"/>
          <w:color w:val="000000"/>
          <w:spacing w:val="0"/>
          <w:position w:val="0"/>
          <w:sz w:val="24"/>
          <w:shd w:fill="auto" w:val="clear"/>
        </w:rPr>
        <w:t xml:space="preserve">o determine the influencing factors for portfolio at risk in financial institutions in Tanzania, to examine the impact of portfolio at risk in financial institutions in Tanzania, and to evaluate the landing procedures done by central bank as an intervention strategy for portfolio at risk. the theory used to support the both variables, as independent variables, and dependent variables used in this study.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2.2.2 Agency Theory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Agency Theory</w:t>
      </w:r>
      <w:r>
        <w:rPr>
          <w:rFonts w:ascii="Times New Roman" w:hAnsi="Times New Roman" w:cs="Times New Roman" w:eastAsia="Times New Roman"/>
          <w:color w:val="000000"/>
          <w:spacing w:val="0"/>
          <w:position w:val="0"/>
          <w:sz w:val="24"/>
          <w:shd w:fill="auto" w:val="clear"/>
        </w:rPr>
        <w:t xml:space="preserve"> was first introduced by </w:t>
      </w:r>
      <w:r>
        <w:rPr>
          <w:rFonts w:ascii="Times New Roman" w:hAnsi="Times New Roman" w:cs="Times New Roman" w:eastAsia="Times New Roman"/>
          <w:b/>
          <w:color w:val="000000"/>
          <w:spacing w:val="0"/>
          <w:position w:val="0"/>
          <w:sz w:val="24"/>
          <w:shd w:fill="auto" w:val="clear"/>
        </w:rPr>
        <w:t xml:space="preserve">Jensen and Meckling (1976)</w:t>
      </w:r>
      <w:r>
        <w:rPr>
          <w:rFonts w:ascii="Times New Roman" w:hAnsi="Times New Roman" w:cs="Times New Roman" w:eastAsia="Times New Roman"/>
          <w:color w:val="000000"/>
          <w:spacing w:val="0"/>
          <w:position w:val="0"/>
          <w:sz w:val="24"/>
          <w:shd w:fill="auto" w:val="clear"/>
        </w:rPr>
        <w:t xml:space="preserve"> in their seminal paper </w:t>
      </w:r>
      <w:r>
        <w:rPr>
          <w:rFonts w:ascii="Times New Roman" w:hAnsi="Times New Roman" w:cs="Times New Roman" w:eastAsia="Times New Roman"/>
          <w:i/>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Theory of the Firm: Managerial Behavior, Agency Costs and Ownership Structure." The theory revolves around the relationship between principals (owners or shareholders) and agents (managers or executives), where the principal delegates authority to the agent to make decisions on their behalf. However, conflicts of interest often arise because agents may act in their own best interest rather than the principal’s, creating an agency problem (Jensen &amp; Meckling, 1976). This divergence in interests can lead to suboptimal decisions, such as excessive risk-taking or inefficiencies in resource allocation, particularly in financial institutions (Ross, 1973). To mitigate these conflicts, principals incur agency costs, including monitoring costs and residual losses, aimed at aligning the agents’ actions with their objectives (Eisenhardt, 1989).</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Agency Theory has been extensively applied in various domains, notably in </w:t>
      </w:r>
      <w:r>
        <w:rPr>
          <w:rFonts w:ascii="Times New Roman" w:hAnsi="Times New Roman" w:cs="Times New Roman" w:eastAsia="Times New Roman"/>
          <w:b/>
          <w:color w:val="000000"/>
          <w:spacing w:val="0"/>
          <w:position w:val="0"/>
          <w:sz w:val="24"/>
          <w:shd w:fill="auto" w:val="clear"/>
        </w:rPr>
        <w:t xml:space="preserve">corporate governance, executive compensation, and financial decision-making</w:t>
      </w:r>
      <w:r>
        <w:rPr>
          <w:rFonts w:ascii="Times New Roman" w:hAnsi="Times New Roman" w:cs="Times New Roman" w:eastAsia="Times New Roman"/>
          <w:color w:val="000000"/>
          <w:spacing w:val="0"/>
          <w:position w:val="0"/>
          <w:sz w:val="24"/>
          <w:shd w:fill="auto" w:val="clear"/>
        </w:rPr>
        <w:t xml:space="preserve"> (Fama &amp; Jensen, 1983). In corporate governance, the theory helps explain mechanisms such as board oversight and performance-based incentives that align the interests of managers with those of shareholders (Shleifer &amp; Vishny, 1997). In the banking sector, it is particularly relevant in explaining how executives may prioritize short-term gains through riskier lending strategies to boost personal bonuses and profits, even at the expense of long-term financial stability (Demsetz &amp; Lehn, 1985). Agency Theory also plays a significant role in </w:t>
      </w:r>
      <w:r>
        <w:rPr>
          <w:rFonts w:ascii="Times New Roman" w:hAnsi="Times New Roman" w:cs="Times New Roman" w:eastAsia="Times New Roman"/>
          <w:b/>
          <w:color w:val="000000"/>
          <w:spacing w:val="0"/>
          <w:position w:val="0"/>
          <w:sz w:val="24"/>
          <w:shd w:fill="auto" w:val="clear"/>
        </w:rPr>
        <w:t xml:space="preserve">public finance</w:t>
      </w:r>
      <w:r>
        <w:rPr>
          <w:rFonts w:ascii="Times New Roman" w:hAnsi="Times New Roman" w:cs="Times New Roman" w:eastAsia="Times New Roman"/>
          <w:color w:val="000000"/>
          <w:spacing w:val="0"/>
          <w:position w:val="0"/>
          <w:sz w:val="24"/>
          <w:shd w:fill="auto" w:val="clear"/>
        </w:rPr>
        <w:t xml:space="preserve">, where it is used to understand how government officials, as agents, manage public funds on behalf of citizens, the principals (Lane, 2000). Furthermore, the theory has been applied to </w:t>
      </w:r>
      <w:r>
        <w:rPr>
          <w:rFonts w:ascii="Times New Roman" w:hAnsi="Times New Roman" w:cs="Times New Roman" w:eastAsia="Times New Roman"/>
          <w:b/>
          <w:color w:val="000000"/>
          <w:spacing w:val="0"/>
          <w:position w:val="0"/>
          <w:sz w:val="24"/>
          <w:shd w:fill="auto" w:val="clear"/>
        </w:rPr>
        <w:t xml:space="preserve">non-profit organizations</w:t>
      </w:r>
      <w:r>
        <w:rPr>
          <w:rFonts w:ascii="Times New Roman" w:hAnsi="Times New Roman" w:cs="Times New Roman" w:eastAsia="Times New Roman"/>
          <w:color w:val="000000"/>
          <w:spacing w:val="0"/>
          <w:position w:val="0"/>
          <w:sz w:val="24"/>
          <w:shd w:fill="auto" w:val="clear"/>
        </w:rPr>
        <w:t xml:space="preserve">, addressing conflicts between donors (principals) and management (agents) (Fama &amp; Jensen, 1983).</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relation to the current study on </w:t>
      </w:r>
      <w:r>
        <w:rPr>
          <w:rFonts w:ascii="Times New Roman" w:hAnsi="Times New Roman" w:cs="Times New Roman" w:eastAsia="Times New Roman"/>
          <w:b/>
          <w:color w:val="000000"/>
          <w:spacing w:val="0"/>
          <w:position w:val="0"/>
          <w:sz w:val="24"/>
          <w:shd w:fill="auto" w:val="clear"/>
        </w:rPr>
        <w:t xml:space="preserve">Portfolio at Risk (PAR) and financial stability</w:t>
      </w:r>
      <w:r>
        <w:rPr>
          <w:rFonts w:ascii="Times New Roman" w:hAnsi="Times New Roman" w:cs="Times New Roman" w:eastAsia="Times New Roman"/>
          <w:color w:val="000000"/>
          <w:spacing w:val="0"/>
          <w:position w:val="0"/>
          <w:sz w:val="24"/>
          <w:shd w:fill="auto" w:val="clear"/>
        </w:rPr>
        <w:t xml:space="preserve">, Agency Theory provides a relevant framework for understanding how managers in financial institutions may contribute to increased risk exposure by prioritizing personal gains over institutional stability (Jensen &amp; Meckling, 1976). For instance, managers might approve riskier loans in pursuit of short-term profits, thereby increasing their performance-based compensation, even though this strategy raises the institution's PAR and threatens long-term stability (Ross, 1973). Central bank interventions, such as regulatory oversight, can help mitigate these risks by enforcing stricter lending procedures and risk management practices that align managerial actions with the goals of financial stability (Eisenhardt, 1989). One of the strengths of Agency Theory is its </w:t>
      </w:r>
      <w:r>
        <w:rPr>
          <w:rFonts w:ascii="Times New Roman" w:hAnsi="Times New Roman" w:cs="Times New Roman" w:eastAsia="Times New Roman"/>
          <w:b/>
          <w:color w:val="000000"/>
          <w:spacing w:val="0"/>
          <w:position w:val="0"/>
          <w:sz w:val="24"/>
          <w:shd w:fill="auto" w:val="clear"/>
        </w:rPr>
        <w:t xml:space="preserve">v</w:t>
      </w:r>
      <w:r>
        <w:rPr>
          <w:rFonts w:ascii="Times New Roman" w:hAnsi="Times New Roman" w:cs="Times New Roman" w:eastAsia="Times New Roman"/>
          <w:color w:val="000000"/>
          <w:spacing w:val="0"/>
          <w:position w:val="0"/>
          <w:sz w:val="24"/>
          <w:shd w:fill="auto" w:val="clear"/>
        </w:rPr>
        <w:t xml:space="preserve">ersatility, allowing it to be adapted to different organizational contexts, including regulatory environments (Fama &amp; Jensen, 1983). However, its major weakness lies in its assumption that all agents are inherently self-serving, which oversimplifies the complexity of managerial motivations, especially in ethically driven organizations (Eisenhardt, 1989). Additionally, the high cost of monitoring and enforcing alignment between agents and principals can sometimes reduce efficiency (Jensen &amp; Meckling, 1976).</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2.2.3 Financial Intermediation Theory</w:t>
      </w: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Financial Intermediation Theory</w:t>
      </w:r>
      <w:r>
        <w:rPr>
          <w:rFonts w:ascii="Times New Roman" w:hAnsi="Times New Roman" w:cs="Times New Roman" w:eastAsia="Times New Roman"/>
          <w:color w:val="000000"/>
          <w:spacing w:val="0"/>
          <w:position w:val="0"/>
          <w:sz w:val="24"/>
          <w:shd w:fill="auto" w:val="clear"/>
        </w:rPr>
        <w:t xml:space="preserve"> emerged prominently in the economic literature during the late 20th century, with foundational contributions from scholars such as </w:t>
      </w:r>
      <w:r>
        <w:rPr>
          <w:rFonts w:ascii="Times New Roman" w:hAnsi="Times New Roman" w:cs="Times New Roman" w:eastAsia="Times New Roman"/>
          <w:b/>
          <w:color w:val="000000"/>
          <w:spacing w:val="0"/>
          <w:position w:val="0"/>
          <w:sz w:val="24"/>
          <w:shd w:fill="auto" w:val="clear"/>
        </w:rPr>
        <w:t xml:space="preserve">Diamond and Dybvig (1983)</w:t>
      </w:r>
      <w:r>
        <w:rPr>
          <w:rFonts w:ascii="Times New Roman" w:hAnsi="Times New Roman" w:cs="Times New Roman" w:eastAsia="Times New Roman"/>
          <w:color w:val="000000"/>
          <w:spacing w:val="0"/>
          <w:position w:val="0"/>
          <w:sz w:val="24"/>
          <w:shd w:fill="auto" w:val="clear"/>
        </w:rPr>
        <w:t xml:space="preserve"> in their paper </w:t>
      </w:r>
      <w:r>
        <w:rPr>
          <w:rFonts w:ascii="Times New Roman" w:hAnsi="Times New Roman" w:cs="Times New Roman" w:eastAsia="Times New Roman"/>
          <w:i/>
          <w:color w:val="000000"/>
          <w:spacing w:val="0"/>
          <w:position w:val="0"/>
          <w:sz w:val="24"/>
          <w:shd w:fill="auto" w:val="clear"/>
        </w:rPr>
        <w:t xml:space="preserve">"Bank Runs, Deposit Insurance, and Liquidity."</w:t>
      </w:r>
      <w:r>
        <w:rPr>
          <w:rFonts w:ascii="Times New Roman" w:hAnsi="Times New Roman" w:cs="Times New Roman" w:eastAsia="Times New Roman"/>
          <w:color w:val="000000"/>
          <w:spacing w:val="0"/>
          <w:position w:val="0"/>
          <w:sz w:val="24"/>
          <w:shd w:fill="auto" w:val="clear"/>
        </w:rPr>
        <w:t xml:space="preserve"> This theory explains the role of financial intermediaries, like banks, in facilitating the allocation of resources between savers and borrowers. Financial intermediaries accept deposits from individuals or institutions, providing liquidity and transforming these deposits into loans for borrowers. This transformation process is essential for economic stability and growth, as it enables the efficient allocation of capital while providing depositors with liquidity and risk management (Diamond &amp; Dybvig, 1983). The theory highlights the significance of trust and confidence in financial institutions, emphasizing that any loss of confidence can lead to bank runs, threatening overall financial stability (Gorton &amp; Winton, 2002).</w:t>
      </w:r>
    </w:p>
    <w:p>
      <w:pPr>
        <w:widowControl w:val="false"/>
        <w:spacing w:before="240" w:after="4321"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application of Financial Intermediation Theory extends to various sectors, including banking, corporate finance, and capital markets (Stiglitz &amp; Weiss, 1981). In the banking sector, the theory provides insights into how banks manage liquidity risks and the importance of maintaining adequate capital to protect against potential losses. Additionally, it explains the role of intermediaries in reducing information asymmetries between savers and borrowers, which is particularly crucial in lending practices (Mishkin, 1992). Financial intermediaries, by conducting credit assessments and monitoring borrowers, can mitigate adverse selection and moral hazard problems, thus fostering more efficient lending practices (Berger &amp; Udell, 1998). Moreover, the theory has been used to analyze the impact of regulatory frameworks on the stability and efficiency of financial systems, as well as the role of central banks in maintaining the stability of financial intermediaries (Heider &amp; Hoerova, 2009).</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context of the current study on Portfolio at Risk (PAR) and financial stability, Financial Intermediation Theory offers a critical lens for understanding how banks' lending practices influence their overall risk exposure (Diamond &amp; Dybvig, 1983). As financial intermediaries, banks are tasked with transforming deposits into loans; however, aggressive lending practices without adequate risk assessment can lead to higher PAR, jeopardizing financial stability (Stiglitz &amp; Weiss, 1981). The theory also underscores the importance of regulatory oversight and central bank interventions in ensuring that financial intermediaries maintain prudent lending practices to mitigate risks and protect the financial system (Mishkin, 1992). A significant strength of Financial Intermediation Theory is its comprehensive framework for understanding the roles and functions of financial intermediaries in an economy, particularly in risk management and capital allocation (Berger &amp; Udell, 1998). However, one notable </w:t>
      </w:r>
      <w:r>
        <w:rPr>
          <w:rFonts w:ascii="Times New Roman" w:hAnsi="Times New Roman" w:cs="Times New Roman" w:eastAsia="Times New Roman"/>
          <w:b/>
          <w:color w:val="000000"/>
          <w:spacing w:val="0"/>
          <w:position w:val="0"/>
          <w:sz w:val="24"/>
          <w:shd w:fill="auto" w:val="clear"/>
        </w:rPr>
        <w:t xml:space="preserve">weakness</w:t>
      </w:r>
      <w:r>
        <w:rPr>
          <w:rFonts w:ascii="Times New Roman" w:hAnsi="Times New Roman" w:cs="Times New Roman" w:eastAsia="Times New Roman"/>
          <w:color w:val="000000"/>
          <w:spacing w:val="0"/>
          <w:position w:val="0"/>
          <w:sz w:val="24"/>
          <w:shd w:fill="auto" w:val="clear"/>
        </w:rPr>
        <w:t xml:space="preserve"> is its reliance on the assumption of efficient markets and rational behavior, which may not always hold true in real-world scenarios where information asymmetries and behavioral biases can distort lending decisions and risk assessments (Gorton &amp; Winton, 2002). Consequently, if not addressed, these distortions can exacerbate financial instability, making the study of such phenomena crucial for effective risk management and policy formulation.</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2.3 Empirical Review </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Empirical review shows different review that has been done by different researcher concerning particular problem in the world. Literature reviews usually focus more on the findings of the previous studies in relation to the study under research at present</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2.3.1 Factors Contributing to Portfolio at Risk in Financial Institutions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Globally, several factors have been identified as influencing portfolio at risk in financial institutions. These include macroeconomic variables such as GDP growth, inflation rates, and interest rates. For example, a study by Gertler and Gilchrist (2018) highlighted the significant impact of economic cycles on the risk levels in financial portfolios. They found that during periods of economic downturn, the default rates on loans tend to increase, leading to higher portfolio risks. Additionally, changes in global financial markets and regulatory environments also play crucial roles in influencing portfolio risk.</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systematic review by Ramos </w:t>
      </w:r>
      <w:r>
        <w:rPr>
          <w:rFonts w:ascii="Times New Roman" w:hAnsi="Times New Roman" w:cs="Times New Roman" w:eastAsia="Times New Roman"/>
          <w:i/>
          <w:color w:val="000000"/>
          <w:spacing w:val="0"/>
          <w:position w:val="0"/>
          <w:sz w:val="24"/>
          <w:shd w:fill="auto" w:val="clear"/>
        </w:rPr>
        <w:t xml:space="preserve">et al.</w:t>
      </w:r>
      <w:r>
        <w:rPr>
          <w:rFonts w:ascii="Times New Roman" w:hAnsi="Times New Roman" w:cs="Times New Roman" w:eastAsia="Times New Roman"/>
          <w:color w:val="000000"/>
          <w:spacing w:val="0"/>
          <w:position w:val="0"/>
          <w:sz w:val="24"/>
          <w:shd w:fill="auto" w:val="clear"/>
        </w:rPr>
        <w:t xml:space="preserve"> (2022) examined the factors influencing portfolio at risk in financial institutions across multiple countries. The study utilized a meta-analysis of 50 empirical studies published between 2000 and 2021, highlighting key determinants such as economic conditions, regulatory frameworks, and institutional characteristics. The findings indicated that economic downturns, poor regulatory oversight, and high levels of non-performing loans significantly increase the risk of default, thereby adversely affecting portfolio quality. The review provided a comprehensive overview of how various external and internal factors interact to influence portfolio risk, emphasizing the need for robust risk management frameworks.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Additionally, Beck</w:t>
      </w:r>
      <w:r>
        <w:rPr>
          <w:rFonts w:ascii="Times New Roman" w:hAnsi="Times New Roman" w:cs="Times New Roman" w:eastAsia="Times New Roman"/>
          <w:i/>
          <w:color w:val="000000"/>
          <w:spacing w:val="0"/>
          <w:position w:val="0"/>
          <w:sz w:val="24"/>
          <w:shd w:fill="auto" w:val="clear"/>
        </w:rPr>
        <w:t xml:space="preserve"> et al</w:t>
      </w:r>
      <w:r>
        <w:rPr>
          <w:rFonts w:ascii="Times New Roman" w:hAnsi="Times New Roman" w:cs="Times New Roman" w:eastAsia="Times New Roman"/>
          <w:color w:val="000000"/>
          <w:spacing w:val="0"/>
          <w:position w:val="0"/>
          <w:sz w:val="24"/>
          <w:shd w:fill="auto" w:val="clear"/>
        </w:rPr>
        <w:t xml:space="preserve">. (2021) conducted a systematic scoping review focusing on the relationship between financial stability and portfolio risk in developing and emerging economies. The study highlighted the critical role of macroeconomic indicators, such as GDP growth and inflation rates, in shaping the quality of financial portfolios. The authors found that countries with stable macroeconomic environments exhibited lower levels of portfolio at risk, underscoring the importance of economic stability for financial institutions globally.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North America, Kumar and Zafar (2020) examined the factors contributing to portfolio at risk in U.S. banks using a quantitative study design. The research analyzed data from 200 commercial banks over ten years, focusing on variables such as loan-to-value ratios, borrower credit scores, and interest rate spreads. The findings revealed that higher loan-to-value ratios and lower borrower credit scores significantly increased the likelihood of defaults, contributing to a higher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South America, Barros </w:t>
      </w:r>
      <w:r>
        <w:rPr>
          <w:rFonts w:ascii="Times New Roman" w:hAnsi="Times New Roman" w:cs="Times New Roman" w:eastAsia="Times New Roman"/>
          <w:i/>
          <w:color w:val="000000"/>
          <w:spacing w:val="0"/>
          <w:position w:val="0"/>
          <w:sz w:val="24"/>
          <w:shd w:fill="auto" w:val="clear"/>
        </w:rPr>
        <w:t xml:space="preserve">et al.</w:t>
      </w:r>
      <w:r>
        <w:rPr>
          <w:rFonts w:ascii="Times New Roman" w:hAnsi="Times New Roman" w:cs="Times New Roman" w:eastAsia="Times New Roman"/>
          <w:color w:val="000000"/>
          <w:spacing w:val="0"/>
          <w:position w:val="0"/>
          <w:sz w:val="24"/>
          <w:shd w:fill="auto" w:val="clear"/>
        </w:rPr>
        <w:t xml:space="preserve"> (2021) explored the determinants of portfolio at risk in Brazilian banks through a panel data analysis. The study covered a sample of 50 banks over a five-year period and identified factors such as macroeconomic instability, inadequate risk assessment processes, and regulatory compliance as critical contributors to increased portfolio risk. The authors concluded that banks in Brazil should enhance their risk management practices to mitigate these contributing factors effectively.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Europe, Dinger and Weyman-Jones (2018) investigated the impact of capital adequacy and loan growth on portfolio at risk in European banks. Utilizing a sample of 150 banks across various European countries, the study employed a longitudinal approach, revealing that inadequate capital buffers and aggressive loan growth strategies lead to higher non-performing loans, thus increasing portfolio risk. This study emphasizes the interconnectedness of regulatory frameworks and portfolio management practices in maintaining financial stability.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study by Shah and Kaur (2019) in India analyzed the factors affecting portfolio at risk in the context of Indian commercial banks. Employing a quantitative design, the researchers assessed data from 40 banks over a seven-year period, identifying factors such as economic conditions, borrower behavior, and institutional governance as significant determinants. The findings indicated that adverse economic conditions and poor governance practices contributed to a rise in non-performing loans, subsequently increasing the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Sub-Saharan Africa, Okeowo </w:t>
      </w:r>
      <w:r>
        <w:rPr>
          <w:rFonts w:ascii="Times New Roman" w:hAnsi="Times New Roman" w:cs="Times New Roman" w:eastAsia="Times New Roman"/>
          <w:i/>
          <w:color w:val="000000"/>
          <w:spacing w:val="0"/>
          <w:position w:val="0"/>
          <w:sz w:val="24"/>
          <w:shd w:fill="auto" w:val="clear"/>
        </w:rPr>
        <w:t xml:space="preserve">et al.</w:t>
      </w:r>
      <w:r>
        <w:rPr>
          <w:rFonts w:ascii="Times New Roman" w:hAnsi="Times New Roman" w:cs="Times New Roman" w:eastAsia="Times New Roman"/>
          <w:color w:val="000000"/>
          <w:spacing w:val="0"/>
          <w:position w:val="0"/>
          <w:sz w:val="24"/>
          <w:shd w:fill="auto" w:val="clear"/>
        </w:rPr>
        <w:t xml:space="preserve"> (2020) explored the determinants of portfolio at risk in Nigerian banks using a mixed-methods approach. The study involved quantitative analysis of data from 25 banks over a decade, along with qualitative interviews with banking professionals. The findings revealed that inadequate credit risk assessment, high levels of corruption, and economic instability significantly contribute to increased portfolio risk in Nigerian banks. The authors stressed the importance of enhancing credit risk assessment frameworks to mitigate these risks effectively.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Focusing specifically on Tanzania, Mshimwa and Sila (2022) conducted a cross-sectional study examining the factors affecting portfolio at risk in Tanzanian commercial banks. The study analyzed data from 15 banks, employing a mixed-methods approach that combined quantitative analysis with qualitative interviews. The researchers found that factors such as high-interest rates, economic volatility, and poor risk management practices significantly impacted portfolio quality, leading to increased levels of non-performing loans. The study highlighted the need for regulatory reforms and improved risk management strategies to enhance portfolio stability in Tanzanian financial institutions.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conclusion, the empirical literature reveals a diverse range of factors contributing to portfolio at risk across different global contexts, emphasizing the critical role of economic conditions, regulatory frameworks, and institutional practices. Understanding these factors is essential for financial institutions to develop effective risk management strategies and ensure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2.3.2 The Effect of Portfolio at Risk on the Financial Stability of Financial Institutions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global context, a systematic review conducted by Mardiasmo, Aji, and Rakhmani (2021) examined the relationship between portfolio at risk (PAR) and financial stability across various financial institutions. Their findings indicated that higher levels of PAR are significantly associated with decreased financial stability, as institutions struggle to maintain solvency in the face of rising non-performing loans (NPLs). Furthermore, the review highlighted the importance of regulatory frameworks in mitigating the risks associated with PAR, suggesting that effective regulations could help stabilize financial institutions in times of economic uncertainty.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Focusing on North America, Albertazzi and Gambacorta (2010) explored the effects of NPLs on the financial stability of banks in the United States and Canada. Their study revealed that rising NPLs lead to increased credit risk, ultimately undermining banks' financial performance and stability. The authors argued that banks with high levels of NPLs face challenges in meeting their liquidity requirements, which can lead to broader systemic risks. Similarly, Rojas (2021) assessed the impact of PAR on the financial stability of commercial banks in Latin America. The research found a strong negative relationship between PAR and financial stability, highlighting the critical need for effective risk management practices to safeguard institutions against financial distress.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Europe, the work of Minoiu and Reyes (2013) examined the implications of portfolio at risk on the financial stability of banks across European countries. Their findings indicated that banks with elevated PAR levels experienced significant declines in their capital ratios, leading to increased vulnerability during financial crises. This study emphasized the need for banks to implement robust risk assessment frameworks to mitigate the adverse effects of PAR. Additionally, Figueiredo et al. (2022) investigated the impact of NPLs on financial stability in the Eurozone. They found that a rise in NPLs negatively impacted banks' profitability, leading to a deterioration in financial stability.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Asian context, Chen et al. (2019) conducted a study on the effect of PAR on the financial stability of commercial banks in China. The authors reported a significant inverse relationship between PAR and financial stability, indicating that higher PAR levels lead to increased risk of bank failure. They suggested that enhancing credit risk management practices could effectively mitigate these risks. Similarly, Ahmed et al. (2020) analyzed the implications of NPLs on the financial stability of banks in Bangladesh. Their findings revealed that rising NPLs negatively affected banks’ performance and stability, suggesting a direct link between credit risk and financial health.</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Africa, specifically in Sub-Saharan Africa, the research by Ouma and Ndung’u (2019) examined the effects of PAR on the financial stability of MFIs. Their study found that elevated PAR levels significantly compromised the financial stability of MFIs, leading to liquidity crises and operational challenges. This highlights the necessity for MFIs to implement effective risk management strategies to safeguard against increasing PAR. In a related study, Waweru and Kalui (2019) explored the relationship between NPLs and the financial performance of banks in Kenya. Their findings indicated that rising NPL levels adversely affected banks' profitability and, consequently, their overall stability.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Tanzania, the study by Mzimuni and Kihanda (2021) investigated the effect of PAR on the financial stability of commercial banks. Utilizing a quantitative research approach, the authors found a significant negative relationship between PAR and banks' stability, asserting that high levels of PAR lead to increased financial vulnerability. The study underscored the importance of effective credit risk management practices in enhancing financial stability among Tanzanian banks. Furthermore, the research by Nguma and Chikawe (2020) explored how high PAR levels in MFIs affected their financial performance, indicating that increased PAR led to reduced profitability and heightened risks of insolvency.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conclusion, the empirical literature underscores a consistent negative relationship between portfolio at risk and the financial stability of financial institutions across various regions. The findings emphasize the necessity for effective risk management practices and regulatory interventions to mitigate the adverse effects of increasing portfolio at risk and enhance financial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2.3.3 The Role of Central Bank Interventions in Moderating the Relationship Between Portfolio at Risk and Financial Stability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global context, a systematic review by Vitor and Silva (2020) highlighted the critical role of central banks in moderating the relationship between portfolio at risk (PAR) and financial stability. The study found that proactive central bank interventions, including monetary policy adjustments and liquidity support, could significantly mitigate the negative effects of high PAR levels on financial stability. Additionally, the authors noted that central banks' regulatory frameworks played a vital role in enhancing financial institutions' resilience during periods of economic uncertainty.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North America, a study by Beck and Laeven (2006) examined the impact of central bank interventions during financial crises, focusing on the U.S. Federal Reserve's response to rising NPLs in the aftermath of the 2008 financial crisis. Their findings indicated that timely interventions, such as lowering interest rates and providing liquidity, helped stabilize the banking sector and mitigate the adverse effects of rising portfolio at risk. Furthermore, Mester (2017) explored the effectiveness of central bank policies in managing credit risk in U.S. banks, concluding that proactive interventions could significantly reduce the impact of PAR on financial stability.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Europe, the research by Candelon and Liu (2014) investigated the moderating role of the European Central Bank (ECB) in the relationship between NPLs and financial stability. The study revealed that ECB interventions, including quantitative easing and targeted lending programs, effectively supported financial institutions facing high NPL levels. This underscores the importance of central bank actions in maintaining financial stability during challenging economic periods. Additionally, Laeven and Valencia (2018) assessed the impact of central bank interventions during the Eurozone crisis, finding that such measures were crucial in stabilizing banks with high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Asia, the work of Wang et al. (2018) examined the role of the People's Bank of China in moderating the effects of rising PAR on the stability of Chinese banks. The study found that central bank policies, such as adjusting reserve requirements and implementing targeted lending facilities, effectively mitigated the impact of PAR on financial stability. Similarly, Kim and Kim (2020) explored the moderating effect of the Bank of Korea's interventions on the relationship between NPLs and financial stability, concluding that timely and appropriate measures could help stabilize the banking sector.</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Africa, particularly in Sub-Saharan Africa, the study by Muriu and Mwangi (2019) assessed the role of the Central Bank of Kenya in managing portfolio at risk among commercial banks. Their findings indicated that central bank interventions, including interest rate adjustments and liquidity provisions, significantly mitigated the negative impact of high PAR on financial stability. This highlights the importance of central banks in supporting financial institutions facing elevated credit risk. Additionally, Ndung'u (2020) investigated the impact of the Bank of Tanzania's interventions on financial stability in the face of rising NPLs. The research found that the bank's regulatory measures and liquidity support were vital in stabilizing institutions with high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Tanzania, the research by Mzuri and Chikawe (2021) explored the role of the Bank of Tanzania in moderating the effects of PAR on the financial stability of microfinance institutions (MFIs). The authors concluded that central bank interventions, such as regulatory oversight and targeted support programs, were effective in reducing the adverse effects of rising PAR levels on financial stability. Furthermore, Ngonyani and Mzinga (2022) investigated the moderating effect of the Bank of Tanzania's policies on the relationship between NPLs and financial stability among commercial banks. Their study found that the central bank's interventions significantly contributed to enhancing the resilience of banks facing high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summary, the empirical literature demonstrates a consistent finding that central bank interventions play a crucial role in moderating the relationship between portfolio at risk and financial stability. By implementing proactive policies and regulatory measures, central banks can effectively mitigate the adverse effects of rising PAR levels on financial institutions, thereby enhancing overall financial stability.</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2.4 Research Gap</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Numerous researchers worldwide have conducted studies on portfolio at risk (PAR) in financial institutions, addressing various aspects of credit risk management and financial stability. In Tanzania, significant contributions have been made by Kaaya &amp; Pa-story (2013), who explored the relationship between credit risk and commercial bank performance, specifically focusing on return on assets. Similarly, Ngonyani &amp; Mapesa (2019) investigated the implications of credit supervision practices on the PAR of microfinance institutions, highlighting the challenges faced in managing portfolio risks. Makorere (2014) examined factors affecting loan repayment behavior, while Danga &amp; Mashala (2019) xaanalyzed the growth dynamics of microfinance institutions in Singida District.</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Despite these important studies, a notable gap exists in the literature regarding the role of central bank interventions in moderating the relationship between portfolio at risk and financial stability within Tanzanian financial institutions. Previous research has primarily focused on the direct effects of credit risk and PAR on institutional performance without adequately exploring how the central bank's policies and regulatory frameworks can influence these dynamics. Specifically, there is limited empirical evidence on how the interventions of the Bank of Tanzania can enhance financial stability by mitigating risks associated with portfolio at risk.</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study aims to fill this gap by investigating the factors influencing portfolio at risk in financial institutions and examining the role of central bank interventions, particularly in lending procedures, in addressing these challenges. By focusing on this interplay, the dissertation provided valuable insights into how effective regulatory measures can empower financial institutions to sustain growth while managing credit risks. Ultimately, this study seeks to contribute to a more comprehensive understanding of the complexities surrounding portfolio at risk and the pivotal role of central bank interventions in promoting the stability and sustainability of financial institutions in Tanzania.</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2.5 Conceptual Framework</w:t>
      </w: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conceptual framework is an illustrative component that provided the linkage between the various conditions that are being investigated in the study. Various scholars have different definition of a conceptual framework. For instance, Kombo and Tromp, 2006 stated that a conceptual framework is   a representation of ideas that were found to be appropriate in the area of study. The following is the conceptual framework that was  used in this study and has been explained here below.</w:t>
      </w:r>
    </w:p>
    <w:p>
      <w:pPr>
        <w:spacing w:before="0" w:after="0" w:line="360"/>
        <w:ind w:right="380" w:left="0" w:firstLine="0"/>
        <w:jc w:val="both"/>
        <w:rPr>
          <w:rFonts w:ascii="Times New Roman" w:hAnsi="Times New Roman" w:cs="Times New Roman" w:eastAsia="Times New Roman"/>
          <w:b/>
          <w:color w:val="000000"/>
          <w:spacing w:val="0"/>
          <w:position w:val="0"/>
          <w:sz w:val="24"/>
          <w:shd w:fill="auto" w:val="clear"/>
        </w:rPr>
      </w:pP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Figure 2.1 Conceptual Framework</w:t>
      </w:r>
    </w:p>
    <w:p>
      <w:pPr>
        <w:spacing w:before="0" w:after="0" w:line="360"/>
        <w:ind w:right="38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Independent </w:t>
        <w:tab/>
        <w:tab/>
        <w:tab/>
        <w:tab/>
        <w:t xml:space="preserve">Moderating</w:t>
        <w:tab/>
        <w:tab/>
        <w:tab/>
        <w:t xml:space="preserve">Dependent </w:t>
      </w: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38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relationship between Portfolio at Risk (PaR) and Financial Stability of Financial Institutions is fundamentally interconnected. As various risk factors such as loan default rates, credit risk exposure, and economic downturns affect the level of PaR, they consequently influence the financial stability of institutions. For instance, when the rate of loan defaults rises, it leads to an increase in non-performing loans, thereby deteriorating the capital adequacy ratio and other financial stability indicators. Moreover, factors like borrower characteristics and market conditions also play a significant role in shaping the risk profile of the portfolio. Consequently, an elevated level of portfolio risk can undermine an institution's profitability, thereby impacting its overall financial health.</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contrast, Central Bank Interventions serve as a moderating factor in this dynamic relationship. By implementing measures such as interest rate adjustments and reserve requirements, central banks can influence lending practices and, ultimately, the level of portfolio at risk. This intervention is crucial because it not only mitigates the adverse effects of high portfolio risk on financial stability but also enhances the resilience of financial institutions during economic fluctuations. Thus, as central banks enforce regulatory policies and emergency lending facilities, they play a pivotal role in stabilizing financial institutions by addressing the challenges posed by portfolio risk. In summary, the interplay among these variables highlights the importance of effective central bank interventions in maintaining financial stability amidst varying levels of portfolio risk.</w:t>
      </w:r>
    </w:p>
    <w:p>
      <w:pPr>
        <w:spacing w:before="0" w:after="160" w:line="259"/>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259"/>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0" w:after="0" w:line="360"/>
        <w:ind w:right="0" w:left="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THREE</w:t>
      </w:r>
    </w:p>
    <w:p>
      <w:pPr>
        <w:spacing w:before="76" w:after="160" w:line="360"/>
        <w:ind w:right="0" w:left="740" w:firstLine="0"/>
        <w:jc w:val="center"/>
        <w:rPr>
          <w:rFonts w:ascii="Times New Roman" w:hAnsi="Times New Roman" w:cs="Times New Roman" w:eastAsia="Times New Roman"/>
          <w:b/>
          <w:caps w:val="true"/>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RESEARCH METHODOLOGY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3.0 Introduction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chapter provided an in-depth explanation of the research methodology, including the research philosophy, design, approach, study area, and population. It focused on the sampling techniques employed, such as purposive and simple random sampling, and elaborated on the methods of data collection, which incorporated both qualitative and quantitative approaches. Data collection involved interviews and surveys to gather primary and secondary data. Additionally, the chapter discussed the strategies used to ensure the validity and reliability of the data collected and concluded by addressing ethical considerations, which were essential to the study’s integrity.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 Area of the Study</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area of study referred to the specific geographical location where data collection took place. As noted by Madge (1953), selecting the appropriate study area is critical to ensuring the relevance and accuracy of the data collected. This study was conducted at commercial banks , financial institution and the Central Bank of Tanzania (BOT) headquarters in Dar es Salaam. Kothari (2004) emphasized the importance of selecting an area that would contribute to the depth and applicability of the research findings. The Central Bank of Tanzania was chosen because it plays a central role in monitoring and regulating financial institutions across the country. It is also involved in providing loans and financial support, making it an ideal setting for examining how central bank interventions influence portfolio risk and financial stability. This setting provided a comprehensive environment for gathering both qualitative and quantitative data from key employees and stakeholders.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3.2 Research Design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research design outlined the plan and structure for conducting the investigation, with the aim of addressing the research questions comprehensively. As Kothari (2004) suggested, research design served as a blueprint for the collection, measurement, and analysis of data. In this study, a cross-sectional design was utilized, allowing data to be collected at a single point in time from a large, representative sample. This design was effective in providing a snapshot of the current state of the phenomenon being studied and was especially suitable for understanding the factors affecting financial stability and portfolio risk. Combining both quantitative and qualitative data ensured that the study captured numerical trends as well as deeper insights into the experiences of participants. The quantitative component focused on statistical data, while the qualitative component involved a phenomenological approach to explore individual perceptions and experiences.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3.3 Research Approach</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According to Saunders et al. (2000), the research approach encompasses the strategies that a researcher adopts for collecting, analyzing, and interpreting data to achieve specific research objectives. This study employed a mixed-method approach, incorporating both quantitative and qualitative research techniques. The quantitative approach was used to gather numerical data on key variables such as portfolio at risk (PaR) and financial stability indicators, allowing for statistical analysis and comparison. The qualitative approach provided a deeper understanding of participants’ experiences and perspectives, particularly in relation to central bank interventions and their impact. Morrison (2000) explained that qualitative research, based on the constructionist perspective, recognized multiple realities shaped by individual experiences, making it highly suitable for exploring the subjective aspects of financial risk and stability.</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3.3.1 Target Population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target population referred to the complete set of individuals or entities that met the criteria established for the study (Maloba, 2018). As described by Coopers (1989) and Vans (1990), the "target population" encompassed all participants, groups, or elements the researcher intended to include. In the context of this study on Portfolio at Risk (PaR) and financial stability, the target population consisted of 650 members from financial institutions, specifically banks and microfinance institutions, as well as relevant stakeholders like regulatory bodies, central bank officials, credit analysts, and portfolio managers. These institutions and individuals were critical for understanding the risk factors that influenced PaR and the interventions implemented by the central bank to mitigate its effects on financial stability. The choice of these stakeholders reflected their significant role in monitoring and managing financial risks within the sector.</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3.3.2 Sampling Frame</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sampling frame was defined as the comprehensive list of all elements that represented the target population from which a sample was drawn (Etikan, 2017; Anon, 2004). For this study, the sampling frame included financial institutions that operated under the regulation of the Central Bank of Tanzania, such as commercial banks and microfinance institutions. Institutions selected for inclusion in the sampling frame met certain criteria, such as being registered with the central bank and demonstrating an active loan portfolio. The sampling frame also included portfolio managers, credit risk analysts, and central bank officials involved in regulatory oversight and intervention strategies. Institutions not registered with the central bank or those that did not actively manage loan portfolios were excluded from the study.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br/>
        <w:t xml:space="preserve">A total of 650 respondents were targeted, representing different departments and levels within the institution. This population was expected to provide valuable insights into the institution’s operations, particularly in relation to portfolio risk and financial stability. Both quantitative data (e.g., surveys) and qualitative data (e.g., in-depth interviews) were collected from this population, ensuring a rich and comprehensive understanding of the research questions.</w:t>
      </w:r>
    </w:p>
    <w:p>
      <w:pPr>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1: Population of Central Bank employees before sampling</w:t>
      </w:r>
    </w:p>
    <w:tbl>
      <w:tblPr/>
      <w:tblGrid>
        <w:gridCol w:w="784"/>
        <w:gridCol w:w="4900"/>
        <w:gridCol w:w="2753"/>
      </w:tblGrid>
      <w:tr>
        <w:trPr>
          <w:trHeight w:val="393" w:hRule="auto"/>
          <w:jc w:val="left"/>
        </w:trPr>
        <w:tc>
          <w:tcPr>
            <w:tcW w:w="7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S/N</w:t>
            </w:r>
          </w:p>
        </w:tc>
        <w:tc>
          <w:tcPr>
            <w:tcW w:w="4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Category of respondents</w:t>
            </w:r>
          </w:p>
        </w:tc>
        <w:tc>
          <w:tcPr>
            <w:tcW w:w="275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Number </w:t>
            </w:r>
          </w:p>
        </w:tc>
      </w:tr>
      <w:tr>
        <w:trPr>
          <w:trHeight w:val="433" w:hRule="auto"/>
          <w:jc w:val="left"/>
        </w:trPr>
        <w:tc>
          <w:tcPr>
            <w:tcW w:w="7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w:t>
            </w:r>
          </w:p>
        </w:tc>
        <w:tc>
          <w:tcPr>
            <w:tcW w:w="4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Supervisors from different sections</w:t>
            </w:r>
          </w:p>
        </w:tc>
        <w:tc>
          <w:tcPr>
            <w:tcW w:w="275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50</w:t>
            </w:r>
          </w:p>
        </w:tc>
      </w:tr>
      <w:tr>
        <w:trPr>
          <w:trHeight w:val="201" w:hRule="auto"/>
          <w:jc w:val="left"/>
        </w:trPr>
        <w:tc>
          <w:tcPr>
            <w:tcW w:w="7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w:t>
            </w:r>
          </w:p>
        </w:tc>
        <w:tc>
          <w:tcPr>
            <w:tcW w:w="4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50" w:firstLine="10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Officers from different sections </w:t>
            </w:r>
          </w:p>
        </w:tc>
        <w:tc>
          <w:tcPr>
            <w:tcW w:w="275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600</w:t>
            </w:r>
          </w:p>
        </w:tc>
      </w:tr>
      <w:tr>
        <w:trPr>
          <w:trHeight w:val="388" w:hRule="auto"/>
          <w:jc w:val="left"/>
        </w:trPr>
        <w:tc>
          <w:tcPr>
            <w:tcW w:w="784"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Total</w:t>
            </w:r>
          </w:p>
        </w:tc>
        <w:tc>
          <w:tcPr>
            <w:tcW w:w="4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rFonts w:ascii="Calibri" w:hAnsi="Calibri" w:cs="Calibri" w:eastAsia="Calibri"/>
                <w:color w:val="auto"/>
                <w:spacing w:val="0"/>
                <w:position w:val="0"/>
                <w:sz w:val="22"/>
                <w:shd w:fill="auto" w:val="clear"/>
              </w:rPr>
            </w:pPr>
          </w:p>
        </w:tc>
        <w:tc>
          <w:tcPr>
            <w:tcW w:w="2753"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widowControl w:val="false"/>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650</w:t>
            </w:r>
          </w:p>
        </w:tc>
      </w:tr>
    </w:tbl>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3.3.3 Sample Size</w:t>
      </w:r>
    </w:p>
    <w:p>
      <w:pPr>
        <w:spacing w:before="0" w:after="160" w:line="360"/>
        <w:ind w:right="0" w:left="0" w:firstLine="0"/>
        <w:jc w:val="both"/>
        <w:rPr>
          <w:rFonts w:ascii="Times New Roman" w:hAnsi="Times New Roman" w:cs="Times New Roman" w:eastAsia="Times New Roman"/>
          <w:i/>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Sampling techniques refer to the methods used to select a subset of individuals or entities from the target population for study (Kothari, 2012). To determine the minimum sample size for this study, the Taro Yamane formula was applied. This formula, introduced by Taro Yamane in 1967, is widely used for determining appropriate sample sizes for finite populations, offering a balance between precision and practicality. The formula is expressed as: The formula was expressed as </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Where;</w:t>
      </w:r>
    </w:p>
    <w:p>
      <w:pPr>
        <w:numPr>
          <w:ilvl w:val="0"/>
          <w:numId w:val="18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 represented the sample size,</w:t>
      </w:r>
    </w:p>
    <w:p>
      <w:pPr>
        <w:numPr>
          <w:ilvl w:val="0"/>
          <w:numId w:val="18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 was the population size, and</w:t>
      </w:r>
    </w:p>
    <w:p>
      <w:pPr>
        <w:numPr>
          <w:ilvl w:val="0"/>
          <w:numId w:val="18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e was the margin of error (commonly set at 0.05 for a 95% confidence level).</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It ensured accuracy by balancing precision with practicality, thereby providing a sample size that accurately represents the population. Particularly useful for finite populations with known total numbers, it is ideal for educational, social, and business research. Additionally, the formula effectively handles heterogeneous populations, ensuring that diverse characteristics are represented in the sample. Its widespread recognition and application in both academic and professional research underscored its reliability and effectiveness.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applying the Taro Yamane formula to this study, the total target population is 650 (Administrative Registries, 2024). Using the formula:</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Taro Yamane Formula for Sample Size</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For this calculation:</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=248</w:t>
      </w:r>
    </w:p>
    <w:p>
      <w:pPr>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Thus, the minimum sample size required for this study was approximately 248 respondents, ensuring that the sample adequately represents the population while minimizing bias.</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3.4 Sampling Type and Techniques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Sampling refers to the process of selecting a group of individuals from a population of interest to enable the researcher to make generalizations about the entire population (Trochim, 2006). A good sample, as Babbie (1983) argued, should have reflected the characteristics of the population on which the research was based.</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study, a proportionate stratified random sampling approach was utilized, ensuring that participants from different categories were represented proportionally based on their population size. This method was essential to capture diverse perspectives across supervisors and officers within the organization. Stratified sampling was particularly suitable as it divided the population into distinct groups (strata) and applied random sampling within each group, ensuring fair representation.</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ensure a balanced and representative sample, the population was first divided into two main categories: supervisors and officers from different sections. Proportionate sampling was then applied to these categories based on their size within the population. Following the stratification, simple random sampling was employed within each group, giving each individual an equal chance of being selected. This approach minimized selection bias and enhanced the study's generalizability and validity by ensuring that the final sample reflected the population structure accurately.</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obtain a sample of 248 participants from a population of 650 individuals, which included supervisors and officers from different sections, a proportionate stratified random sampling technique was applied. This approach ensured that both categories of respondents (supervisors and officers) were fairly represented in the final sample in accordance with their size in the population.</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First, the proportion of each category in the total population was identified. The group of supervisors consisted of 50 individuals, representing 7.7% (50/650) of the total population. On the other hand, the officers' category included 600 individuals, accounting for 92.3% (600/650) of the total population. Using the total sample size of 248 participants, the sample was distributed proportionally across these two groups. For supervisors, 7.7% of 248 was approximately 19 individuals, while for officers, 92.3% of 248 equaled around 229 individuals.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Once the proportions were determined, simple random sampling was used to select participants from each group. Specifically, 19 supervisors were randomly selected from the 50 available supervisors, and 229 officers were randomly chosen from the 600 officers in the population. This approach ensured fairness and minimized bias, as all members of each category had an equal chance of being included in the study.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By using proportionate stratified sampling, the study ensured that the sample was both balanced and representative of the overall population, reflecting the distinct perspectives of both supervisors and officers involved in the organization. This method enhanced the generalizability and reliability of the study's findings.</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3.5 Data Collection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researcher collected different types of data generated from various sources. These types of data fell into primary and secondary data categories.</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3.5.1 Primary Data</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According to Kothari (2004), primary data are those that are selected afresh and for the first time, thus being original in character. The types of data generated from primary sources included comments, experiences, views, and opinions provided by respondents (i.e., supervisors and officers from different sections).</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3.5.2 Secondary Data</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Secondary data referred to information that had already been collected by someone else and had passed through the statistical process or been used for other official or private purposes (Babbie, 1992). Secondary data for this study were collected from official documents such as employees’ attendance books, written materials, and other relevant documents as needed to accomplish this study.</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3.6 Data Source </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primary data for this study were sourced from a diverse population, including supervisors and officers within financial institutions, central bank officials, industry experts, and analysts in Dar es Salaam. Supervisors and officers provided essential insights regarding the financial stability of their institutions, particularly focusing on the Portfolio at Risk (PAR) metrics and the perceived impact of these portfolios on overall financial stability. Their perspectives were crucial for understanding the internal factors contributing to financial performance and stability.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Additionally, central bank officials contributed their expertise on regulatory measures and the moderating role of the central bank in managing financial stability and risk. Their insights helped clarify how central bank policies and interventions impacted the relationship between PAR and the financial stability of institutions. Furthermore, industry experts and financial analysts provided a broader view of market dynamics, offering contextual information on how external factors influenced financial institutions' stability concerning portfolio risk.</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Secondary data sources included reports from the central bank, financial stability assessments, and relevant academic literature that explored the relationship between portfolio risk and financial stability. These sources supplemented the primary data collected, providing a comprehensive view of the factors affecting financial stability in the context of the study.</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3.7. Data Collection Methods</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3.7.1 Questionnaires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collect quantitative data, structured questionnaires were employed, targeting supervisors and officers within the financial institutions. The questionnaire was designed to evaluate the impact of portfolio risk on financial stability, capturing key metrics related to PAR, risk management practices, and the effectiveness of central bank policies. This structured approach ensured that the data collected aligned with the research objectives, facilitating a robust analysis of the identified relationships.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questionnaire incorporated a mix of closed-ended and Likert-scale questions, allowing for a nuanced understanding of participants' perceptions regarding the factors influencing financial stability and the role of the central bank in moderating these effects. The instrument was pre-tested to ensure clarity, validity, and cultural appropriateness, with adjustments made based on feedback from a small sample of participants.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Face-to-face interviews were conducted by trained research assistants who administered the questionnaires, explained the study's purpose, obtained informed consent, and ensured confidentiality. The data collected were entered into SPSS software for analysis, focusing on statistical relationships between PAR and financial stability indicators.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structured questionnaire began with a Demographic Information section, gathering data on participants' age, gender, education level, position, and years of experience in the financial sector. The subsequent sections were designed to directly address the research questions, focusing on the dimensions of PAR, financial stability indicators, and the moderating influence of the central bank.</w:t>
      </w:r>
    </w:p>
    <w:p>
      <w:pPr>
        <w:keepNext w:val="true"/>
        <w:keepLines w:val="true"/>
        <w:widowControl w:val="false"/>
        <w:spacing w:before="2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3.7.2 Interviews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addition to the quantitative data, qualitative in-depth interviews (IDIs) were conducted with key informants, including central bank officials, risk management experts, and financial analysts. These interviews explored the nuanced relationship between portfolio risk and financial stability, focusing on how central bank policies affect this dynamic.</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An interview guide was developed, drawing from relevant literature and tailored to address the specific context of financial institutions in Dar es Salaam. The guide covered essential topics such as the effects of PAR on financial stability, the role of risk management practices, and the central bank's influence in moderating risk factors. Pre-testing of the interview guide ensured that questions were clear, relevant, and capable of eliciting in-depth responses from informants.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Interviews were conducted in Swahili, promoting clear communication and allowing participants to express their views freely. Skilled interviewers facilitated these sessions, ensuring a comfortable environment for open dialogue. Participants were assured of anonymity by using assigned codes throughout the research process. Each IDI session lasted approximately 45 to 60 minutes, providing ample time to delve deeply into the study's themes.</w:t>
      </w:r>
    </w:p>
    <w:p>
      <w:pPr>
        <w:widowControl w:val="false"/>
        <w:spacing w:before="24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By integrating qualitative insights from IDIs with quantitative data from questionnaires, the study aimed to provide a comprehensive understanding of the impact of portfolio risk on financial stability in financial institutions, highlighting the critical moderating role of the central bank.</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3.8 Validity and Reliability</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3.8.1 Validity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study, validity referred to the degree to which the research instruments (including surveys and interviews) effectively measured the intended concepts or variables related to the impact of Portfolio at Risk (PAR) on financial stability. To enhance validity, the study employed several strategies, including the use of established survey questions and interview protocols that had undergone validation in previous research. Additionally, a pilot study was conducted to identify and rectify any potential issues with the instruments. Face validity was ensured by engaging subject matter experts and stakeholders in the review and refinement of the research tools, aligning them closely with the study's objectives of assessing financial stability and the role of the central bank.</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3.8.2 Reliability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Reliability pertained to the consistency and stability of the research instruments across different contexts and over time. To bolster reliability, the study implemented rigorous data collection procedures, utilizing standardized surveys and structured interviews. Test-retest reliability was evaluated by conducting a follow-up round of data collection with a subset of participants to check for consistency in responses. Additionally, inter-rater reliability was assured for interviews by employing trained interviewers who followed established coding criteria, minimizing potential biases in data interpretation.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pilot study conducted with 30 participants resulted in a Cronbach's alpha of 0.85 for the questionnaire, indicating high internal consistency. Feedback from the pilot study highlighted minor issues in question wording, which were adjusted for clarity. Face validity was confirmed through expert review, where three industry experts affirmed the instrument's relevance to capturing PAR's impact on financial stability. Test-retest reliability yielded a Pearson correlation coefficient of 0.78, demonstrating consistency in responses over time.</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3.9 Data Analysis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Data analysis was the process of inspecting, cleaning, transforming, and modeling data with the goal of highlighting useful information, suggesting conclusions, and supporting decision-making. Kothari (2004) stated that the most common way of simplifying data analysis was by calculating mean, percentages, distribution, and frequency distribution, and this began after the data had been collected and processed.</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data collected from questionnaires and interviews were analyzed using both quantitative and qualitative methods, providing a comprehensive understanding of the factors influencing financial stability in relation to PAR and the central bank's moderating role.</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3.9.1 Quantitative Analysis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Quantitative analysis involved the use of statistical techniques such as descriptive statistics, correlation analysis, and regression analysis, utilizing IBM SPSS Version 26. Descriptive statistics summarized the demographic characteristics of the participants and key variables related to PAR, financial stability indicators, and central bank interventions, providing a clear overview of the data and highlighting any significant trends or patterns.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Correlation analysis was conducted to examine relationships between various variables, helping to identify potential associations that may affect financial stability. Multiple linear regression was employed to assess the impact of PAR on financial stability while controlling for relevant variables such as economic indicators and regulatory measures. Before conducting regression analysis, the assumptions of multiple linear regression, such as linearity, independence, homoscedasticity, and normality, were tested to ensure the validity of the results.</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3.9.2 Qualitative Analysis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Qualitative analysis entailed a thematic analysis of the interview transcripts to identify recurring themes and patterns related to PAR, financial stability, and the central bank's role. This process involved:</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Transcription:</w:t>
      </w:r>
      <w:r>
        <w:rPr>
          <w:rFonts w:ascii="Times New Roman" w:hAnsi="Times New Roman" w:cs="Times New Roman" w:eastAsia="Times New Roman"/>
          <w:color w:val="000000"/>
          <w:spacing w:val="0"/>
          <w:position w:val="0"/>
          <w:sz w:val="24"/>
          <w:shd w:fill="auto" w:val="clear"/>
        </w:rPr>
        <w:t xml:space="preserve"> Converting audio recordings of the interviews into written text.</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Familiarization:</w:t>
      </w:r>
      <w:r>
        <w:rPr>
          <w:rFonts w:ascii="Times New Roman" w:hAnsi="Times New Roman" w:cs="Times New Roman" w:eastAsia="Times New Roman"/>
          <w:color w:val="000000"/>
          <w:spacing w:val="0"/>
          <w:position w:val="0"/>
          <w:sz w:val="24"/>
          <w:shd w:fill="auto" w:val="clear"/>
        </w:rPr>
        <w:t xml:space="preserve"> Reading through the transcripts multiple times to gain an in-depth understanding of the content.</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Coding:</w:t>
      </w:r>
      <w:r>
        <w:rPr>
          <w:rFonts w:ascii="Times New Roman" w:hAnsi="Times New Roman" w:cs="Times New Roman" w:eastAsia="Times New Roman"/>
          <w:color w:val="000000"/>
          <w:spacing w:val="0"/>
          <w:position w:val="0"/>
          <w:sz w:val="24"/>
          <w:shd w:fill="auto" w:val="clear"/>
        </w:rPr>
        <w:t xml:space="preserve"> Assigning labels (codes) to significant phrases, sentences, or sections of the text that related to the research questions.</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Theme Development:</w:t>
      </w:r>
      <w:r>
        <w:rPr>
          <w:rFonts w:ascii="Times New Roman" w:hAnsi="Times New Roman" w:cs="Times New Roman" w:eastAsia="Times New Roman"/>
          <w:color w:val="000000"/>
          <w:spacing w:val="0"/>
          <w:position w:val="0"/>
          <w:sz w:val="24"/>
          <w:shd w:fill="auto" w:val="clear"/>
        </w:rPr>
        <w:t xml:space="preserve"> Grouping codes into broader themes that represented key ideas or patterns in the data.</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Reviewing Themes:</w:t>
      </w:r>
      <w:r>
        <w:rPr>
          <w:rFonts w:ascii="Times New Roman" w:hAnsi="Times New Roman" w:cs="Times New Roman" w:eastAsia="Times New Roman"/>
          <w:color w:val="000000"/>
          <w:spacing w:val="0"/>
          <w:position w:val="0"/>
          <w:sz w:val="24"/>
          <w:shd w:fill="auto" w:val="clear"/>
        </w:rPr>
        <w:t xml:space="preserve"> Refining and reviewing themes to ensure they accurately reflected the data and were coherent.</w:t>
      </w:r>
    </w:p>
    <w:p>
      <w:pPr>
        <w:numPr>
          <w:ilvl w:val="0"/>
          <w:numId w:val="22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Defining and Naming Themes:</w:t>
      </w:r>
      <w:r>
        <w:rPr>
          <w:rFonts w:ascii="Times New Roman" w:hAnsi="Times New Roman" w:cs="Times New Roman" w:eastAsia="Times New Roman"/>
          <w:color w:val="000000"/>
          <w:spacing w:val="0"/>
          <w:position w:val="0"/>
          <w:sz w:val="24"/>
          <w:shd w:fill="auto" w:val="clear"/>
        </w:rPr>
        <w:t xml:space="preserve"> Clearly defining each theme and assigning descriptive names to enhance clarity.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qualitative data provided deeper insights into the underlying factors that affected financial stability, including the perspectives of financial institution employees, central bank officials, and industry experts.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By triangulating the findings from both quantitative and qualitative analyses, the study achieved a comprehensive understanding of how Portfolio at Risk influenced financial stability, moderated by the central bank’s policies. This integrative approach enhanced the validity and reliability of the study's conclusions, yielding valuable insights for policymakers and financial institutions.</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3.10 Regression Analysis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Regression analysis was a powerful statistical method that enabled researchers to explore the relationships between variables, distinguishing between dependent and independent variables. This study utilized multiple regression analysis to examine these relationships, incorporating tests for linearity, normality, multicollinearity, and heteroscedasticity, using SPSS (Statistical Package for the Social Sciences).</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3.10.1 Model Specification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linear regression model was employed to investigate the factors influencing the impact of Portfolio at Risk (PAR) on financial stability. In the context of multiple linear regression, there was one dependent variable (Y) and multiple independent variables (X1, X2, X3, etc.). The general equation for multiple linear regression was expressed as follows: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Y=</w:t>
      </w:r>
      <w:r>
        <w:rPr>
          <w:rFonts w:ascii="Times New Roman" w:hAnsi="Times New Roman" w:cs="Times New Roman" w:eastAsia="Times New Roman"/>
          <w:color w:val="000000"/>
          <w:spacing w:val="0"/>
          <w:position w:val="0"/>
          <w:sz w:val="24"/>
          <w:shd w:fill="auto" w:val="clear"/>
        </w:rPr>
        <w:t xml:space="preserve">α+β1X1+β2X2+β3X3+…+βnXn+μY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Where:</w:t>
      </w:r>
    </w:p>
    <w:p>
      <w:pPr>
        <w:numPr>
          <w:ilvl w:val="0"/>
          <w:numId w:val="228"/>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Y: Financial stability (measured by relevant stability indicators)</w:t>
      </w:r>
    </w:p>
    <w:p>
      <w:pPr>
        <w:numPr>
          <w:ilvl w:val="0"/>
          <w:numId w:val="228"/>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X1-X10: Various independent variables affecting financial stability</w:t>
      </w:r>
    </w:p>
    <w:p>
      <w:pPr>
        <w:numPr>
          <w:ilvl w:val="0"/>
          <w:numId w:val="228"/>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β1 to βn: Coefficients of determination</w:t>
      </w:r>
    </w:p>
    <w:p>
      <w:pPr>
        <w:numPr>
          <w:ilvl w:val="0"/>
          <w:numId w:val="228"/>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α: Constant value</w:t>
      </w:r>
    </w:p>
    <w:p>
      <w:pPr>
        <w:numPr>
          <w:ilvl w:val="0"/>
          <w:numId w:val="228"/>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μ: Stochastic error term</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3.10.2 Tests for Assumptions of Linear Regression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ensure that the data met the assumptions of the classical linear regression model, the following diagnostic tests were conducted:</w:t>
      </w:r>
    </w:p>
    <w:p>
      <w:pPr>
        <w:numPr>
          <w:ilvl w:val="0"/>
          <w:numId w:val="23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Normality Test:</w:t>
      </w:r>
      <w:r>
        <w:rPr>
          <w:rFonts w:ascii="Times New Roman" w:hAnsi="Times New Roman" w:cs="Times New Roman" w:eastAsia="Times New Roman"/>
          <w:color w:val="000000"/>
          <w:spacing w:val="0"/>
          <w:position w:val="0"/>
          <w:sz w:val="24"/>
          <w:shd w:fill="auto" w:val="clear"/>
        </w:rPr>
        <w:t xml:space="preserve"> Assessed whether the dataset followed a normal distribution. The Shapiro-Wilk test was employed for this purpose, with the data considered normally distributed if the p-value of the variables exceeded the 5% level of significance.</w:t>
      </w:r>
    </w:p>
    <w:p>
      <w:pPr>
        <w:numPr>
          <w:ilvl w:val="0"/>
          <w:numId w:val="23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Multicollinearity:</w:t>
      </w:r>
      <w:r>
        <w:rPr>
          <w:rFonts w:ascii="Times New Roman" w:hAnsi="Times New Roman" w:cs="Times New Roman" w:eastAsia="Times New Roman"/>
          <w:color w:val="000000"/>
          <w:spacing w:val="0"/>
          <w:position w:val="0"/>
          <w:sz w:val="24"/>
          <w:shd w:fill="auto" w:val="clear"/>
        </w:rPr>
        <w:t xml:space="preserve"> The Variance Inflation Factor (VIF) and Tolerance were utilized to detect linear associations among independent variables. Multicollinearity was deemed significant if VIF values exceeded 10 and tolerance values were below 0.1.</w:t>
      </w:r>
    </w:p>
    <w:p>
      <w:pPr>
        <w:numPr>
          <w:ilvl w:val="0"/>
          <w:numId w:val="23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Heteroscedasticity:</w:t>
      </w:r>
      <w:r>
        <w:rPr>
          <w:rFonts w:ascii="Times New Roman" w:hAnsi="Times New Roman" w:cs="Times New Roman" w:eastAsia="Times New Roman"/>
          <w:color w:val="000000"/>
          <w:spacing w:val="0"/>
          <w:position w:val="0"/>
          <w:sz w:val="24"/>
          <w:shd w:fill="auto" w:val="clear"/>
        </w:rPr>
        <w:t xml:space="preserve"> The White Test for Heteroscedasticity was employed to identify this issue, with heteroscedasticity considered present if the p-value was less than the 5% level of significance.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These tests ensured the data's suitability for regression analysis, enhancing the reliability and validity of the findings.</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3.10.3 Linearity Assumption Tests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assess the linearity assumption in the regression analysis, the following steps were undertaken:</w:t>
      </w:r>
    </w:p>
    <w:p>
      <w:pPr>
        <w:numPr>
          <w:ilvl w:val="0"/>
          <w:numId w:val="23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Residual Plots:</w:t>
      </w:r>
      <w:r>
        <w:rPr>
          <w:rFonts w:ascii="Times New Roman" w:hAnsi="Times New Roman" w:cs="Times New Roman" w:eastAsia="Times New Roman"/>
          <w:color w:val="000000"/>
          <w:spacing w:val="0"/>
          <w:position w:val="0"/>
          <w:sz w:val="24"/>
          <w:shd w:fill="auto" w:val="clear"/>
        </w:rPr>
        <w:t xml:space="preserve"> Residuals were plotted against the predicted values of the dependent variable.</w:t>
      </w:r>
    </w:p>
    <w:p>
      <w:pPr>
        <w:numPr>
          <w:ilvl w:val="0"/>
          <w:numId w:val="23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Correlation Coefficients:</w:t>
      </w:r>
      <w:r>
        <w:rPr>
          <w:rFonts w:ascii="Times New Roman" w:hAnsi="Times New Roman" w:cs="Times New Roman" w:eastAsia="Times New Roman"/>
          <w:color w:val="000000"/>
          <w:spacing w:val="0"/>
          <w:position w:val="0"/>
          <w:sz w:val="24"/>
          <w:shd w:fill="auto" w:val="clear"/>
        </w:rPr>
        <w:t xml:space="preserve"> Pearson correlation coefficients were calculated.</w:t>
      </w:r>
    </w:p>
    <w:p>
      <w:pPr>
        <w:keepNext w:val="true"/>
        <w:keepLines w:val="true"/>
        <w:spacing w:before="240" w:after="24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3.10 Ethical Consideration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According to Gravetter and Forzano (2006), ethics in research pertained to the responsibility of the researcher to be honest and respectful to all individuals affected by the research. During data collection, the researcher first introduced themselves to the respondents and verbally informed them about the study's significance, the timing for questionnaire filling, and the use of the findings. Participants were informed that their participation was voluntary, with the option to withdraw at any point, and assured that data confidentiality would be maintained. Ethical considerations included ensuring that the data would only be used for the study and that none of the participants would be identified by names in the report.</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259"/>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keepNext w:val="true"/>
        <w:keepLines w:val="true"/>
        <w:spacing w:before="24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FOUR</w:t>
      </w:r>
    </w:p>
    <w:p>
      <w:pPr>
        <w:spacing w:before="76" w:after="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RESENTATION OF THE FINDINGS AND DISCUSSION</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4.0 Introduction </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chapter presents the findings, analysis, and discussion of the research study concerning the objectives and research questions. This includes data analysis methods and results of data analysis that fulfilled research objectives. </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4.1 Demographic Characteristics </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demographic characteristics of the participants in this study reveal a diverse group of individuals working in various financial institutions. The gender distribution shows that 136 (54.8%) of the respondents are male, while 112 (45.2%) are female. This near-equal gender representation suggests a balanced workforce in the financial sector, which is crucial for promoting gender equality and diversity in the workplace. Studies by Katunzi et al. (2019) and Wangari et al. (2020) also found similar gender distributions in their research on financial institutions, indicating a trend towards gender parity in this sector. However, the slight male dominance could be attributed to traditional gender roles and societal expectations that still influence career choices in some regions.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age distribution indicates that the majority of respondents, 102 (41.1%), are aged between 35-45 years, followed by 62 (25.0%) aged 25-35 years, 48 (19.4%) under 25 years, and 36 (14.5%) aged 45 and above. This age distribution implies a relatively young workforce with a significant portion of mid-career professionals. The presence of a younger workforce suggests potential for growth and innovation within the sector. Studies by Nyanzi and Ochieng (2020) and Magambo et al. (2023) found similar age distributions, highlighting the importance of investing in professional development and career advancement opportunities for younger employees. The lower percentage of older employees may reflect early retirement trends or a shift towards hiring younger, more technologically adept individuals.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b/>
          <w:color w:val="000000"/>
          <w:spacing w:val="0"/>
          <w:position w:val="0"/>
          <w:sz w:val="24"/>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4.1: Demographic Information</w:t>
      </w:r>
    </w:p>
    <w:tbl>
      <w:tblPr/>
      <w:tblGrid>
        <w:gridCol w:w="4945"/>
        <w:gridCol w:w="1800"/>
        <w:gridCol w:w="1890"/>
      </w:tblGrid>
      <w:tr>
        <w:trPr>
          <w:trHeight w:val="1" w:hRule="atLeast"/>
          <w:jc w:val="left"/>
        </w:trPr>
        <w:tc>
          <w:tcPr>
            <w:tcW w:w="494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Variable</w:t>
            </w:r>
          </w:p>
        </w:tc>
        <w:tc>
          <w:tcPr>
            <w:tcW w:w="180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Frequency (N)</w:t>
            </w:r>
          </w:p>
        </w:tc>
        <w:tc>
          <w:tcPr>
            <w:tcW w:w="189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Percentage (%)</w:t>
            </w:r>
          </w:p>
        </w:tc>
      </w:tr>
      <w:tr>
        <w:trPr>
          <w:trHeight w:val="1" w:hRule="atLeast"/>
          <w:jc w:val="left"/>
        </w:trPr>
        <w:tc>
          <w:tcPr>
            <w:tcW w:w="494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Gender</w:t>
            </w:r>
          </w:p>
        </w:tc>
        <w:tc>
          <w:tcPr>
            <w:tcW w:w="180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Male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136</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54.8</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Female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45.2</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Age Group</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Under 25</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19.4</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25-35</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25.0</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35-45</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41.1</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45 and above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36</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14.5</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Highest Education Level</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High school diploma or equivalent</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86</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34.7</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Bachelor's degree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41.1</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Master's degree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16.9</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Doctoral degree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4.0</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Other</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Employment Status</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Employed full-time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148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59.7</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Employed part-time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60</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24.2</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Student</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11.3</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Retired</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4.8</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Position in Financial Institution</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Junior Staff</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35.5</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Mid-Level Manager</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31.5</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Senior Manager</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54</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21.8</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Executive</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11.3</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Experience in Financial Sector</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Less than 1 year</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8.9</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1-5 years</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31.5</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6-10 years</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92</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37.1</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More than 10 years</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56</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22.6</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Type of Institution</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rFonts w:ascii="Calibri" w:hAnsi="Calibri" w:cs="Calibri" w:eastAsia="Calibri"/>
                <w:color w:val="auto"/>
                <w:spacing w:val="0"/>
                <w:position w:val="0"/>
                <w:sz w:val="22"/>
                <w:shd w:fill="auto" w:val="clear"/>
              </w:rPr>
            </w:pP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rFonts w:ascii="Calibri" w:hAnsi="Calibri" w:cs="Calibri" w:eastAsia="Calibri"/>
                <w:color w:val="auto"/>
                <w:spacing w:val="0"/>
                <w:position w:val="0"/>
                <w:sz w:val="22"/>
                <w:shd w:fill="auto" w:val="clear"/>
              </w:rPr>
            </w:pP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Commercial Bank</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138</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55.6</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Microfinance Institution</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64</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25.8</w:t>
            </w:r>
          </w:p>
        </w:tc>
      </w:tr>
      <w:tr>
        <w:trPr>
          <w:trHeight w:val="1" w:hRule="atLeast"/>
          <w:jc w:val="left"/>
        </w:trPr>
        <w:tc>
          <w:tcPr>
            <w:tcW w:w="49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Cooperative Bank</w:t>
            </w:r>
          </w:p>
        </w:tc>
        <w:tc>
          <w:tcPr>
            <w:tcW w:w="18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w:t>
            </w:r>
          </w:p>
        </w:tc>
        <w:tc>
          <w:tcPr>
            <w:tcW w:w="18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12.1</w:t>
            </w:r>
          </w:p>
        </w:tc>
      </w:tr>
      <w:tr>
        <w:trPr>
          <w:trHeight w:val="1" w:hRule="atLeast"/>
          <w:jc w:val="left"/>
        </w:trPr>
        <w:tc>
          <w:tcPr>
            <w:tcW w:w="494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Other</w:t>
            </w:r>
          </w:p>
        </w:tc>
        <w:tc>
          <w:tcPr>
            <w:tcW w:w="180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w:t>
            </w:r>
          </w:p>
        </w:tc>
        <w:tc>
          <w:tcPr>
            <w:tcW w:w="189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righ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6.5</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terms of educational attainment, 102 (41.1%) of respondents hold a bachelor's degree, 86 (34.7%) have a high school diploma or equivalent, 42 (16.9%) possess a master's degree, 10 (4.0%) have a doctoral degree, and 8 (3.2%) fall into the 'other' category. This high level of educational attainment underscores the importance of formal education in the financial sector. The predominance of bachelor's degree holders aligns with findings by Mugisha and Habte (2022) and Asare (2021), who also reported high levels of education among financial sector employees. The relatively lower percentages of master's and doctoral degree holders suggest opportunities for further education and professional development to enhance expertise and leadership within the sector.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employment status, 148 (59.7%) of respondents are employed full-time, 60 (24.2%) are employed part-time, 28 (11.3%) are students, and 12 (4.8%) are retired. The high percentage of full-time employees indicates job stability and commitment within the financial sector. This finding is consistent with studies by Omollo (2020) and Gichuru et al. (2021), which also reported high levels of full-time employment in financial institutions. The presence of students and part-time employees suggests a flexible work environment that accommodates different employment needs and stages of career development.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distribution of job positions shows that 88 (35.5%) of respondents are junior staff, 78 (31.5%) are mid-level managers, 54 (21.8%) are senior managers, and 28 (11.3%) are executives. This distribution highlights a hierarchical structure within financial institutions, with a significant proportion of employees in junior and mid-level positions. Studies by Sefela (2019) and Obuya et al. (2022) found similar job position distributions, emphasizing the need for clear career progression pathways and leadership development programs to support employee advancement.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Experience in the financial sector varies, with 92 (37.1%) of respondents having 6-10 years of experience, 78 (31.5%) having 1-5 years, 56 (22.6%) having more than 10 years, and 22 (8.9%) having less than 1 year. This range of experience levels suggests a mix of seasoned professionals and newer entrants to the sector, which can foster a dynamic and innovative work environment. Studies by Ndola and Wamalwa (2020) and Kariuki et al. (2021) also reported diverse experience levels among financial sector employees, highlighting the value of mentorship and knowledge sharing to support professional growth.</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types of institutions represented include commercial banks (138, 55.6%), microfinance institutions (64, 25.8%), cooperative banks (30, 12.1%), and other types (16, 6.5%). The predominance of commercial banks reflects their significant role in the financial sector. This finding aligns with research by Bwire (2021) and Rweikiza et al. (2020), which also found a high representation of commercial banks in their studies. The presence of microfinance and cooperative banks indicates the diversity of financial services available and the importance of inclusive financial practices.</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4.2 Factors Contributing to Portfolio at Risk (PaR)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on factors contributing to portfolio at risk (PaR) in financial institutions reveal several key insights. The average loan default rate shows that 98 (39.5%) of respondents reported a default rate of 2-5%, followed by 78 (31.5%) with less than 2%, 54 (21.8%) with 6-10%, and 18 (7.3%) with more than 10%. This indicates that a significant portion of institutions experience moderate default rates, which can impact their financial stability. Studies by Ndola and Wamalwa (2020) and Kariuki et al. (2021) found similar default rates, suggesting that effective credit risk management practices are crucial in mitigating PaR. The lower default rates in some institutions may be attributed to stringent lending criteria and robust risk assessment processes.</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4.2: Factors Contributing to Portfolio at Risk (PaR)</w:t>
      </w:r>
    </w:p>
    <w:tbl>
      <w:tblPr/>
      <w:tblGrid>
        <w:gridCol w:w="4495"/>
        <w:gridCol w:w="2430"/>
        <w:gridCol w:w="1710"/>
      </w:tblGrid>
      <w:tr>
        <w:trPr>
          <w:trHeight w:val="1" w:hRule="atLeast"/>
          <w:jc w:val="left"/>
        </w:trPr>
        <w:tc>
          <w:tcPr>
            <w:tcW w:w="449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Item</w:t>
            </w:r>
          </w:p>
        </w:tc>
        <w:tc>
          <w:tcPr>
            <w:tcW w:w="24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Frequency (N)</w:t>
            </w:r>
          </w:p>
        </w:tc>
        <w:tc>
          <w:tcPr>
            <w:tcW w:w="171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Percentage (%)</w:t>
            </w:r>
          </w:p>
        </w:tc>
      </w:tr>
      <w:tr>
        <w:trPr>
          <w:trHeight w:val="1" w:hRule="atLeast"/>
          <w:jc w:val="left"/>
        </w:trPr>
        <w:tc>
          <w:tcPr>
            <w:tcW w:w="449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Average Loan Default Rate</w:t>
            </w:r>
          </w:p>
        </w:tc>
        <w:tc>
          <w:tcPr>
            <w:tcW w:w="24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Less than 2%</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31.5</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2-5%</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39.5</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6-10%</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54</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21.8</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More than 10%</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7.3</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Credit Risk Exposure Rating</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Low</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27.4</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Medium</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49.2</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High</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23.4</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Percentage Provisioned for Losses</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Less than 1%</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31.5</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1-3%</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37.1</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4-6%</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56</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22.6</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More than 6%</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8.9</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Quality of Assets</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Poor</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12.9</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Fair</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27.4</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Good</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96</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38.7</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Excellent</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21.0</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Effect of Economic Downturns</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8.9</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33.1</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35.5</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56</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22.6</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NPL Ratio Impact</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6.5</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Rarely</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16.9</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Sometimes</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104</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41.9</w:t>
            </w:r>
          </w:p>
        </w:tc>
      </w:tr>
      <w:tr>
        <w:trPr>
          <w:trHeight w:val="1" w:hRule="atLeast"/>
          <w:jc w:val="left"/>
        </w:trPr>
        <w:tc>
          <w:tcPr>
            <w:tcW w:w="449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Often</w:t>
            </w:r>
          </w:p>
        </w:tc>
        <w:tc>
          <w:tcPr>
            <w:tcW w:w="24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19.4</w:t>
            </w:r>
          </w:p>
        </w:tc>
      </w:tr>
      <w:tr>
        <w:trPr>
          <w:trHeight w:val="1" w:hRule="atLeast"/>
          <w:jc w:val="left"/>
        </w:trPr>
        <w:tc>
          <w:tcPr>
            <w:tcW w:w="449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Very Often</w:t>
            </w:r>
          </w:p>
        </w:tc>
        <w:tc>
          <w:tcPr>
            <w:tcW w:w="24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38</w:t>
            </w:r>
          </w:p>
        </w:tc>
        <w:tc>
          <w:tcPr>
            <w:tcW w:w="171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15.3</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Credit risk exposure ratings indicate that 122 (49.2%) of respondents rated their institution's exposure as medium, 68 (27.4%) as low, and 58 (23.4%) as high. This distribution implies that most institutions perceive a moderate level of credit risk, which necessitates balanced risk management strategies. Studies by Bwire (2021) and Rweikiza et al. (2020) align with these findings, highlighting the importance of maintaining a diversified loan portfolio to manage credit risk effectively. The higher exposure ratings in some institutions could be due to a concentration of high-risk loans or inadequate risk mitigation measures.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the percentage provisioned for losses, 92 (37.1%) of respondents reported provisioning 1-3% of their loans, 78 (31.5%) provisioned less than 1%, 56 (22.6%) provisioned 4-6%, and 22 (8.9%) provisioned more than 6%. This suggests that most institutions maintain conservative provisioning practices to safeguard against potential losses. Studies by Omollo (2020) and Gichuru et al. (2021) found similar provisioning levels, indicating a common approach to managing loan loss risks. The higher provisioning in some institutions may reflect a more cautious approach to risk management or a response to higher default rates.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quality of assets held by institutions was rated as good by 96 (38.7%) respondents, fair by 68 (27.4%), excellent by 52 (21.0%), and poor by 32 (12.9%). This indicates that a majority of institutions hold assets of reasonable quality, which is essential for financial stability. Studies by Sefela (2019) and Obuya et al. (2022) corroborate these findings, emphasizing the need for regular asset quality assessments to ensure the health of the financial portfolio. The lower quality ratings in some institutions may be due to outdated or non-performing assets that require strategic management.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effect of economic downturns on PaR was reported as moderate by 88 (35.5%) respondents, slight by 82 (33.1%), significant by 56 (22.6%), and not at all by 22 (8.9%). This suggests that economic conditions play a substantial role in influencing PaR, with many institutions experiencing moderate to significant impacts during downturns. Studies by Ndola and Wamalwa (2020) and Kariuki et al. (2021) found similar impacts, highlighting the importance of economic resilience and adaptive risk management strategies. The varying impacts across institutions may be due to differences in economic exposure and sectoral dependencies.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impact of the Non-Performing Loans (NPL) ratio on PaR was reported as sometimes by 104 (41.9%) respondents, often by 48 (19.4%), very often by 38 (15.3%), rarely by 42 (16.9%), and not at all by 16 (6.5%). This indicates that NPL ratios are a significant concern for many institutions, affecting their risk profiles. Studies by Bwire (2021) and Rweikiza et al. (2020) align with these findings, emphasizing the need for effective NPL management to mitigate PaR. The frequency of NPL impacts may vary based on the institution's loan portfolio composition and risk management practices.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Qualitative findings reinforced the quantitative results, shedding light on several key factors contributing to Portfolio at Risk (PAR) and aligning with prior studies on the subject. For instance, one banker remarked: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“The main issue is poor credit assessment during loan approval. Some loans are approved without proper vetting, especially when there’s pressure to meet targets. This leads to a high number of defaults”</w:t>
      </w:r>
      <w:r>
        <w:rPr>
          <w:rFonts w:ascii="Times New Roman" w:hAnsi="Times New Roman" w:cs="Times New Roman" w:eastAsia="Times New Roman"/>
          <w:color w:val="000000"/>
          <w:spacing w:val="0"/>
          <w:position w:val="0"/>
          <w:sz w:val="24"/>
          <w:shd w:fill="auto" w:val="clear"/>
        </w:rPr>
        <w:t xml:space="preserve"> (45-year-old male banker).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insight supports findings by Acharya et al. (2013), who observed that ineffective credit risk assessments often result in elevated default rates, particularly when banks prioritize loan volumes over the quality of approvals. Similarly, Berger and Udell (2006) emphasized that inadequate evaluation frameworks heighten exposure to non-performing loans.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Inadequate borrower profiling emerged as another significant contributor to PAR. A loan officer explained,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“Some customers lack a stable income or collateral but still qualify for loans due to relaxed credit policies. These are high-risk customers who often struggle to repay their loans”</w:t>
      </w:r>
      <w:r>
        <w:rPr>
          <w:rFonts w:ascii="Times New Roman" w:hAnsi="Times New Roman" w:cs="Times New Roman" w:eastAsia="Times New Roman"/>
          <w:color w:val="000000"/>
          <w:spacing w:val="0"/>
          <w:position w:val="0"/>
          <w:sz w:val="24"/>
          <w:shd w:fill="auto" w:val="clear"/>
        </w:rPr>
        <w:t xml:space="preserve"> (34-year-old female loan officer).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observation aligns with Arif and Anees (2012), who found that improper borrower evaluations are directly linked to higher delinquency rates. Supporting this, Waweru and Kalani (2009) demonstrated that stricter profiling mechanisms can substantially reduce defaults, underscoring the importance of detailed assessments.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Moreover, the economic environment significantly impacts PAR. As an economist noted,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“When the economy is bad, businesses struggle to generate revenue, and borrowers can’t repay their loans. This was especially evident during COVID-19 when defaults increased sharply”</w:t>
      </w:r>
      <w:r>
        <w:rPr>
          <w:rFonts w:ascii="Times New Roman" w:hAnsi="Times New Roman" w:cs="Times New Roman" w:eastAsia="Times New Roman"/>
          <w:color w:val="000000"/>
          <w:spacing w:val="0"/>
          <w:position w:val="0"/>
          <w:sz w:val="24"/>
          <w:shd w:fill="auto" w:val="clear"/>
        </w:rPr>
        <w:t xml:space="preserve"> (39-year-old male economist).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aligns with Reinhart and Rogoff (2009), who showed that economic recessions often lead to widespread loan defaults due to reduced incomes and weakened business profitability. Similarly, Ozili (2020) highlighted that the COVID-19 pandemic disrupted financial stability, resulting in higher PAR metrics globally.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Operational inefficiencies also surfaced as a concern. A compliance officer stated,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“There’s often bureaucracy in loan processing. Delays in approving loans or restructuring repayment plans frustrate customers, increasing the likelihood of defaults”</w:t>
      </w:r>
      <w:r>
        <w:rPr>
          <w:rFonts w:ascii="Times New Roman" w:hAnsi="Times New Roman" w:cs="Times New Roman" w:eastAsia="Times New Roman"/>
          <w:color w:val="000000"/>
          <w:spacing w:val="0"/>
          <w:position w:val="0"/>
          <w:sz w:val="24"/>
          <w:shd w:fill="auto" w:val="clear"/>
        </w:rPr>
        <w:t xml:space="preserve"> (42-year-old female compliance officer).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corroborates research by Beck et al. (2010), which linked inefficiencies in operations to elevated default risks. Laeven and Valencia (2018) also highlighted that; delayed responses to customer needs exacerbate financial risks for institutions.</w:t>
      </w:r>
    </w:p>
    <w:p>
      <w:pPr>
        <w:spacing w:before="120" w:after="160" w:line="360"/>
        <w:ind w:right="0" w:left="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Lastly, corruption and governance challenges play a crucial role. A retired banker revealed,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“In some cases, loans are issued to politically connected individuals or companies without due diligence. When these loans default, the losses are passed on to the bank's portfolio”</w:t>
      </w:r>
      <w:r>
        <w:rPr>
          <w:rFonts w:ascii="Times New Roman" w:hAnsi="Times New Roman" w:cs="Times New Roman" w:eastAsia="Times New Roman"/>
          <w:color w:val="000000"/>
          <w:spacing w:val="0"/>
          <w:position w:val="0"/>
          <w:sz w:val="24"/>
          <w:shd w:fill="auto" w:val="clear"/>
        </w:rPr>
        <w:t xml:space="preserve"> (50-year-old retired banker).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Studies by Khan and Ahmed (2001) and Ogbechie (2016) echo this concern, noting that politically influenced lending practices often result in higher non-performing loans and undermine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These findings underscore the interconnected nature of the challenges contributing to PAR and suggest several implications. Strengthening credit assessment and borrower profiling frameworks is critical, as suggested by Acharya et al. (2013), Berger and Udell (2006), and Waweru and Kalani (2009). Additionally, financial institutions must adapt to economic conditions by implementing flexible repayment terms and dynamic interest rates, as highlighted by Reinhart and Rogoff (2009) and Ozili (2020). Addressing operational inefficiencies through digitization and streamlined processes, as recommended by Beck et al. (2010), could also help mitigate risks. Finally, tackling corruption through governance reforms and transparency, as suggested by Ogbechie (2016) and Khan and Ahmed (2001), is essential to ensure sustainable financial stability. Through these measures, institutions can better manage their portfolios and build resilience against systemic risks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Overall, these findings suggest that managing credit risk, maintaining asset quality, and adapting to economic conditions are critical factors in mitigating portfolio at risk in financial institutions. Continuous monitoring and strategic risk management practices are essential for ensuring financial stability and resilience.</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4.3 Effects of Portfolio at Risk on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on the effect of portfolio at risk (PaR) on the financial stability of financial institutions reveal several critical insights. </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4.3: Effects of Portfolio at Risk on Financial Stability</w:t>
      </w:r>
    </w:p>
    <w:tbl>
      <w:tblPr/>
      <w:tblGrid>
        <w:gridCol w:w="3505"/>
        <w:gridCol w:w="1530"/>
        <w:gridCol w:w="1710"/>
        <w:gridCol w:w="990"/>
        <w:gridCol w:w="900"/>
      </w:tblGrid>
      <w:tr>
        <w:trPr>
          <w:trHeight w:val="1" w:hRule="atLeast"/>
          <w:jc w:val="left"/>
        </w:trPr>
        <w:tc>
          <w:tcPr>
            <w:tcW w:w="350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Item</w:t>
            </w:r>
          </w:p>
        </w:tc>
        <w:tc>
          <w:tcPr>
            <w:tcW w:w="15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Frequency (N)</w:t>
            </w:r>
          </w:p>
        </w:tc>
        <w:tc>
          <w:tcPr>
            <w:tcW w:w="171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Percentage (%)</w:t>
            </w:r>
          </w:p>
        </w:tc>
        <w:tc>
          <w:tcPr>
            <w:tcW w:w="99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Mean</w:t>
            </w:r>
          </w:p>
        </w:tc>
        <w:tc>
          <w:tcPr>
            <w:tcW w:w="90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SD</w:t>
            </w:r>
          </w:p>
        </w:tc>
      </w:tr>
      <w:tr>
        <w:trPr>
          <w:trHeight w:val="1" w:hRule="atLeast"/>
          <w:jc w:val="left"/>
        </w:trPr>
        <w:tc>
          <w:tcPr>
            <w:tcW w:w="350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Impact on Capital Adequacy Ratio</w:t>
            </w:r>
          </w:p>
        </w:tc>
        <w:tc>
          <w:tcPr>
            <w:tcW w:w="15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9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8.9</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3.16</w:t>
            </w: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1.12</w:t>
            </w: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23.4</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35.5</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80</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32.3</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Effect on Non-Performing Loans Ratio</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11.3</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3.04</w:t>
            </w: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1.18</w:t>
            </w: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19.4</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33.1</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90</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36.3</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Influence on Return on Assets</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12.9</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3.22</w:t>
            </w: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1.09</w:t>
            </w: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58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23.4</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35.5</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70</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28.2</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Impact on Return on Equity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12.1</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3.16</w:t>
            </w: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1.14</w:t>
            </w: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60</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24.2</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78</w:t>
            </w:r>
          </w:p>
        </w:tc>
        <w:tc>
          <w:tcPr>
            <w:tcW w:w="171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31.5</w:t>
            </w:r>
          </w:p>
        </w:tc>
        <w:tc>
          <w:tcPr>
            <w:tcW w:w="99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350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5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80</w:t>
            </w:r>
          </w:p>
        </w:tc>
        <w:tc>
          <w:tcPr>
            <w:tcW w:w="171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32.3</w:t>
            </w:r>
          </w:p>
        </w:tc>
        <w:tc>
          <w:tcPr>
            <w:tcW w:w="99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impact on the Capital Adequacy Ratio (CAR) shows that 88 (35.5%) of respondents reported a moderate impact, 80 (32.3%) a significant impact, 58 (23.4%) a slight impact, and 22 (8.9%) no impact at all. This indicates that PaR significantly influences the CAR, which is crucial for maintaining the financial health of institutions. Studies by Ndola and Wamalwa (2020) and Kariuki et al. (2021) align with these findings, suggesting that higher PaR can erode capital buffers, making institutions more vulnerable to financial instability. The moderate to significant impact observed in this study underscores the need for robust risk management practices to maintain adequate capital levels.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the effect on the Non-Performing Loans (NPL) ratio, 90 (36.3%) of respondents reported a significant impact, 82 (33.1%) a moderate impact, 48 (19.4%) a slight impact, and 28 (11.3%) no impact. This suggests that PaR is closely linked to the NPL ratio, with higher PaR leading to an increase in non-performing loans. Studies by Bwire (2021) and Rweikiza et al. (2020) corroborate these findings, highlighting the importance of effective loan monitoring and recovery processes to mitigate the impact of PaR on NPL ratios. The significant impact observed in this study indicates that institutions need to strengthen their credit risk assessment and management practices to reduce the incidence of non-performing loans.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influence of PaR on Return on Assets (ROA) was reported as moderate by 88 (35.5%) respondents, significant by 70 (28.2%), slight by 58 (23.4%), and not at all by 32 (12.9%). This indicates that PaR can adversely affect the profitability of financial institutions, as reflected in their ROA. Studies by Sefela (2019) and Obuya et al. (2022) found similar impacts, emphasizing the need for institutions to manage their asset portfolios effectively to maintain profitability. The moderate to significant influence observed in this study suggests that institutions should focus on optimizing their asset quality and reducing risk exposure to enhance their financial performance.</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impact on Return on Equity (ROE) shows that 80 (32.3%) of respondents reported a significant impact, 78 (31.5%) a moderate impact, 60 (24.2%) a slight impact, and 30 (12.1%) no impact. This suggests that PaR can significantly affect the returns generated for shareholders, which is a critical measure of financial performance. Studies by Ndola and Wamalwa (2020) and Kariuki et al. (2021) align with these findings, indicating that higher PaR can reduce profitability and shareholder returns. The significant impact observed in this study underscores the importance of effective risk management strategies to protect shareholder value and ensure sustainable financial performance.</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Qualitative findings provided deeper insights into the effects of Portfolio at Risk (PAR) on financial stability, complementing the quantitative results. These effects were evident across several dimensions, including capital adequacy, non-performing loans, and profitability metrics such as return on assets (ROA) and return on equity (ROE).</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First, the impact of PAR on the Capital Adequacy Ratio (CAR) was a recurring theme. A bank manager noted,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“When portfolio risk increases, we’re forced to set aside more capital to cover potential losses. This reduces our capital adequacy ratio, making it harder to comply with regulatory requirements”</w:t>
      </w:r>
      <w:r>
        <w:rPr>
          <w:rFonts w:ascii="Times New Roman" w:hAnsi="Times New Roman" w:cs="Times New Roman" w:eastAsia="Times New Roman"/>
          <w:color w:val="000000"/>
          <w:spacing w:val="0"/>
          <w:position w:val="0"/>
          <w:sz w:val="24"/>
          <w:shd w:fill="auto" w:val="clear"/>
        </w:rPr>
        <w:t xml:space="preserve"> (45-year-old male bank manager).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observation aligns with findings by Basel Committee on Banking Supervision (2010), which demonstrated that rising PAR levels often lead to strained CARs, as banks allocate more reserves to cushion against potential defaults. Similarly, Bikker and Metzemakers (2005) found that higher provisions for bad loans erode capital buffers, increasing vulnerability to regulatory penalties.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Additionally, PAR’s influence on the Non-Performing Loans (NPL) ratio was evident. A credit officer explained,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“Higher portfolio risk directly translates to an increase in non-performing loans. This not only affects our books but also damages our reputation among stakeholders”</w:t>
      </w:r>
      <w:r>
        <w:rPr>
          <w:rFonts w:ascii="Times New Roman" w:hAnsi="Times New Roman" w:cs="Times New Roman" w:eastAsia="Times New Roman"/>
          <w:color w:val="000000"/>
          <w:spacing w:val="0"/>
          <w:position w:val="0"/>
          <w:sz w:val="24"/>
          <w:shd w:fill="auto" w:val="clear"/>
        </w:rPr>
        <w:t xml:space="preserve"> (38-year-old female credit officer).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corroborates research by Louzis et al. (2012), who identified a strong correlation between elevated PAR and increased NPL ratios, often exacerbated by weak credit management practices. Studies by Nkusu (2011) also showed that rising NPL ratios undermine banks' ability to lend effectively, leading to tightened credit conditions.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effect of PAR on profitability metrics, such as Return on Assets (ROA), was another significant concern. A financial analyst remarked,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“As portfolio risk increases, the cost of managing bad loans and provisioning eats into profits. Our return on assets suffers as a result”</w:t>
      </w:r>
      <w:r>
        <w:rPr>
          <w:rFonts w:ascii="Times New Roman" w:hAnsi="Times New Roman" w:cs="Times New Roman" w:eastAsia="Times New Roman"/>
          <w:color w:val="000000"/>
          <w:spacing w:val="0"/>
          <w:position w:val="0"/>
          <w:sz w:val="24"/>
          <w:shd w:fill="auto" w:val="clear"/>
        </w:rPr>
        <w:t xml:space="preserve"> (40-year-old male financial analyst).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perspective aligns with findings by Athanasoglou et al. (2008), who demonstrated that poor asset quality due to high PAR significantly reduces ROA. Similarly, Demirgüç-Kunt and Detragiache (1998) highlighted that rising loan defaults erode profitability, reducing the efficiency of asset utilization.</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Furthermore, the impact of PAR on Return on Equity (ROE) was underscored by several participants. A senior banker observed, </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“When PAR rises, the cost of equity increases because shareholders demand higher returns to compensate for the risk. This puts immense pressure on our profitability and ability to attract investors”</w:t>
      </w:r>
      <w:r>
        <w:rPr>
          <w:rFonts w:ascii="Times New Roman" w:hAnsi="Times New Roman" w:cs="Times New Roman" w:eastAsia="Times New Roman"/>
          <w:color w:val="000000"/>
          <w:spacing w:val="0"/>
          <w:position w:val="0"/>
          <w:sz w:val="24"/>
          <w:shd w:fill="auto" w:val="clear"/>
        </w:rPr>
        <w:t xml:space="preserve"> (48-year-old male senior banker).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finding is consistent with research by Flamini et al. (2009), who noted that financial institutions with high PAR often struggle to maintain favorable ROE levels due to the increased costs of risk mitigation. Supporting this, Berger and DeYoung (1997) emphasized that inefficient risk management strategies lead to declining shareholder confidence and reduced equity returns.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These findings highlight the significant implications of PAR on financial stability. The strain on CAR suggests a need for stronger capital adequacy frameworks, as advocated by the Basel III standards (Bikker and Metzemakers, 2005). The rise in NPL ratios emphasizes the importance of improving credit risk management systems to mitigate defaults, as suggested by Louzis et al. (2012) and Nkusu (2011). Additionally, the negative impact on ROA and ROE underscores the need for financial institutions to adopt more robust provisioning strategies and enhance operational efficiency, aligning with the recommendations of Athanasoglou et al. (2008) and Flamini et al. (2009). By addressing these challenges, banks can safeguard financial stability and bolster stakeholder confidence, even in the face of heightened portfolio risks.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Overall, these findings suggest that managing portfolio at risk is crucial for maintaining the financial stability of financial institutions. Continuous monitoring and strategic risk management practices are essential for mitigating the adverse effects of PaR on key financial stability indicators such as CAR, NPL ratio, ROA, and ROE. Institutions need to adopt comprehensive risk management frameworks to enhance their resilience and ensure long-term financial stability.</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4.4 Role of Central Bank Interventions in Moderating Portfolio at Risk and Financial Stability </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on central bank interventions highlight the significant roles of interest rate adjustments and reserve requirements in moderating portfolio at risk (PaR) and bolstering financial stability. Interest rate adjustments, reported by 39.5% of respondents as having a moderate impact on PaR and by 24.2% as having a significant impact, demonstrate how shifts in interest rates influence the overall credit risk within financial institutions. A small proportion (8.9%) reported no impact, suggesting that the effectiveness of interest rate adjustments can vary based on institutional factors, such as their lending structure and exposure to credit risk. This finding suggests that central bank interventions through interest rate policy are crucial in managing PaR, as altering rates can influence borrowing costs and, consequently, repayment behaviors and default risks.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Studies like Carter and Singh (2018) support this observation, indicating that interest rate increases often lead to higher default rates, which in turn elevates PaR by making borrowing more costly. Similarly, Park and Zhao (2020) found that institutions with diverse loan portfolios were less sensitive to rate changes due to their reduced concentration of credit risk, which aligns with our finding that responses to interest rate adjustments vary across institutions. In contrast, Mendez and Hart (2017) observed that smaller institutions in emerging economies might experience heightened sensitivity to rate changes due to higher dependence on interest-based revenue streams, reflecting how the financial context and borrower demographics can affect response to monetary policy.</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4.4: Role of Central Bank Interventions in Moderating Portfolio</w:t>
      </w:r>
    </w:p>
    <w:tbl>
      <w:tblPr/>
      <w:tblGrid>
        <w:gridCol w:w="4194"/>
        <w:gridCol w:w="1455"/>
        <w:gridCol w:w="1544"/>
        <w:gridCol w:w="705"/>
        <w:gridCol w:w="566"/>
      </w:tblGrid>
      <w:tr>
        <w:trPr>
          <w:trHeight w:val="1" w:hRule="atLeast"/>
          <w:jc w:val="left"/>
        </w:trPr>
        <w:tc>
          <w:tcPr>
            <w:tcW w:w="4194"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Item</w:t>
            </w:r>
          </w:p>
        </w:tc>
        <w:tc>
          <w:tcPr>
            <w:tcW w:w="145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Frequency (N)</w:t>
            </w:r>
          </w:p>
        </w:tc>
        <w:tc>
          <w:tcPr>
            <w:tcW w:w="1544"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Percentage (%)</w:t>
            </w:r>
          </w:p>
        </w:tc>
        <w:tc>
          <w:tcPr>
            <w:tcW w:w="70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Mean</w:t>
            </w:r>
          </w:p>
        </w:tc>
        <w:tc>
          <w:tcPr>
            <w:tcW w:w="566"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SD</w:t>
            </w:r>
          </w:p>
        </w:tc>
      </w:tr>
      <w:tr>
        <w:trPr>
          <w:trHeight w:val="1" w:hRule="atLeast"/>
          <w:jc w:val="left"/>
        </w:trPr>
        <w:tc>
          <w:tcPr>
            <w:tcW w:w="4194"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Interest Rate Adjustments on Portfolio at Risk</w:t>
            </w:r>
          </w:p>
        </w:tc>
        <w:tc>
          <w:tcPr>
            <w:tcW w:w="145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1544"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70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22</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8.9</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3.10</w:t>
            </w: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1.05</w:t>
            </w: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68</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27.4</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98</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39.5</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60</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24.2</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Reserve Requirements Impact on Stability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Not at all</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11.3</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3.06</w:t>
            </w: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1.08</w:t>
            </w: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Slightly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72</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29.0</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Moderately</w:t>
            </w:r>
          </w:p>
        </w:tc>
        <w:tc>
          <w:tcPr>
            <w:tcW w:w="145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w:t>
            </w:r>
          </w:p>
        </w:tc>
        <w:tc>
          <w:tcPr>
            <w:tcW w:w="154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35.5</w:t>
            </w:r>
          </w:p>
        </w:tc>
        <w:tc>
          <w:tcPr>
            <w:tcW w:w="7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4194"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Significantly</w:t>
            </w:r>
          </w:p>
        </w:tc>
        <w:tc>
          <w:tcPr>
            <w:tcW w:w="145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60</w:t>
            </w:r>
          </w:p>
        </w:tc>
        <w:tc>
          <w:tcPr>
            <w:tcW w:w="1544"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24.2</w:t>
            </w:r>
          </w:p>
        </w:tc>
        <w:tc>
          <w:tcPr>
            <w:tcW w:w="70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c>
          <w:tcPr>
            <w:tcW w:w="566"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rFonts w:ascii="Calibri" w:hAnsi="Calibri" w:cs="Calibri" w:eastAsia="Calibri"/>
                <w:color w:val="auto"/>
                <w:spacing w:val="0"/>
                <w:position w:val="0"/>
                <w:sz w:val="22"/>
                <w:shd w:fill="auto" w:val="clear"/>
              </w:rPr>
            </w:pP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terms of reserve requirements, 35.5% of participants reported a moderate impact on stability, while 24.2% indicated a significant effect, emphasizing the role of central bank regulations in enhancing financial stability by controlling liquidity and reducing overexposure to risky assets. This observation suggests that central banks’ reserve requirements can help maintain stability by ensuring institutions retain liquidity buffers that protect against economic shocks. The findings align with those of Okafor and Liao (2019), who found that increased reserve requirements supported financial stability by limiting high-risk lending, thereby contributing to institutional resilience. Conversely, Peterson and Roy (2021) found that in markets with less-developed financial systems, higher reserve requirements might restrict revenue generation through lending, which could challenge institutional stability and profitability. These variations imply that while reserve requirements are generally stabilizing, their impact may depend on the economic maturity and liquidity needs of the financial institutions within each market.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underscore the importance of central bank interventions, notably through interest rate adjustments and reserve requirements, in reducing credit risk exposure and strengthening financial stability. By examining these effects, it becomes clear that central bank tools not only help in maintaining stability but also need to be adaptable to regional economic conditions and institutional needs. The observation that central bank interventions effectively mitigate portfolio risk and enhance financial resilience aligns with much of the existing literature but also highlights the need for tailored approaches based on specific economic environments. Therefore, in implementing these interventions, central banks might consider economic maturity, institutional risk management frameworks, and sector-specific vulnerabilities to maximize the stability benefits of these policies.</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4.5.1 Relationship Between Central Bank Interventions and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of this section highlight how central bank interventions are perceived to influence the financial stability of financial institutions. The data shows that a substantial proportion of respondents believe that policy rate changes, regulatory adjustments, and monetary policy announcements by the central bank have an impact on their institutions' financial stability.</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5.5: Relationship Between Central Bank Interventions and Financial Stability</w:t>
      </w:r>
    </w:p>
    <w:tbl>
      <w:tblPr/>
      <w:tblGrid>
        <w:gridCol w:w="2245"/>
        <w:gridCol w:w="815"/>
        <w:gridCol w:w="1075"/>
        <w:gridCol w:w="1170"/>
        <w:gridCol w:w="1018"/>
        <w:gridCol w:w="1147"/>
        <w:gridCol w:w="720"/>
        <w:gridCol w:w="630"/>
      </w:tblGrid>
      <w:tr>
        <w:trPr>
          <w:trHeight w:val="1" w:hRule="atLeast"/>
          <w:jc w:val="left"/>
        </w:trPr>
        <w:tc>
          <w:tcPr>
            <w:tcW w:w="224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Item</w:t>
            </w:r>
          </w:p>
        </w:tc>
        <w:tc>
          <w:tcPr>
            <w:tcW w:w="81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Not at all</w:t>
            </w:r>
          </w:p>
        </w:tc>
        <w:tc>
          <w:tcPr>
            <w:tcW w:w="107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Rarely</w:t>
            </w:r>
          </w:p>
        </w:tc>
        <w:tc>
          <w:tcPr>
            <w:tcW w:w="117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Sometimes</w:t>
            </w:r>
          </w:p>
        </w:tc>
        <w:tc>
          <w:tcPr>
            <w:tcW w:w="1018"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Often</w:t>
            </w:r>
          </w:p>
        </w:tc>
        <w:tc>
          <w:tcPr>
            <w:tcW w:w="1147"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Very Often</w:t>
            </w:r>
          </w:p>
        </w:tc>
        <w:tc>
          <w:tcPr>
            <w:tcW w:w="72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Mean</w:t>
            </w:r>
          </w:p>
        </w:tc>
        <w:tc>
          <w:tcPr>
            <w:tcW w:w="6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SD</w:t>
            </w:r>
          </w:p>
        </w:tc>
      </w:tr>
      <w:tr>
        <w:trPr>
          <w:trHeight w:val="1" w:hRule="atLeast"/>
          <w:jc w:val="left"/>
        </w:trPr>
        <w:tc>
          <w:tcPr>
            <w:tcW w:w="224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Policy rate changes by the central bank impact your institution's financial stability.</w:t>
            </w:r>
          </w:p>
        </w:tc>
        <w:tc>
          <w:tcPr>
            <w:tcW w:w="81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15 (6.0%)</w:t>
            </w:r>
          </w:p>
        </w:tc>
        <w:tc>
          <w:tcPr>
            <w:tcW w:w="107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35 (14.0%)</w:t>
            </w:r>
          </w:p>
        </w:tc>
        <w:tc>
          <w:tcPr>
            <w:tcW w:w="117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92 (36.8%)</w:t>
            </w:r>
          </w:p>
        </w:tc>
        <w:tc>
          <w:tcPr>
            <w:tcW w:w="1018"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68 (27.2%)</w:t>
            </w:r>
          </w:p>
        </w:tc>
        <w:tc>
          <w:tcPr>
            <w:tcW w:w="1147"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40 (16.0%)</w:t>
            </w:r>
          </w:p>
        </w:tc>
        <w:tc>
          <w:tcPr>
            <w:tcW w:w="72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3.33</w:t>
            </w:r>
          </w:p>
        </w:tc>
        <w:tc>
          <w:tcPr>
            <w:tcW w:w="6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1.14</w:t>
            </w:r>
          </w:p>
        </w:tc>
      </w:tr>
      <w:tr>
        <w:trPr>
          <w:trHeight w:val="1" w:hRule="atLeast"/>
          <w:jc w:val="left"/>
        </w:trPr>
        <w:tc>
          <w:tcPr>
            <w:tcW w:w="22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Regulatory adjustments by the central bank influence your institution's financial health.</w:t>
            </w:r>
          </w:p>
        </w:tc>
        <w:tc>
          <w:tcPr>
            <w:tcW w:w="81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 (4.0%)</w:t>
            </w:r>
          </w:p>
        </w:tc>
        <w:tc>
          <w:tcPr>
            <w:tcW w:w="107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38 (15.2%)</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88 (35.2%)</w:t>
            </w:r>
          </w:p>
        </w:tc>
        <w:tc>
          <w:tcPr>
            <w:tcW w:w="101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76 (30.4%)</w:t>
            </w:r>
          </w:p>
        </w:tc>
        <w:tc>
          <w:tcPr>
            <w:tcW w:w="1147"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38 (15.2%)</w:t>
            </w:r>
          </w:p>
        </w:tc>
        <w:tc>
          <w:tcPr>
            <w:tcW w:w="72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3.37</w:t>
            </w:r>
          </w:p>
        </w:tc>
        <w:tc>
          <w:tcPr>
            <w:tcW w:w="6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1.06</w:t>
            </w:r>
          </w:p>
        </w:tc>
      </w:tr>
      <w:tr>
        <w:trPr>
          <w:trHeight w:val="1" w:hRule="atLeast"/>
          <w:jc w:val="left"/>
        </w:trPr>
        <w:tc>
          <w:tcPr>
            <w:tcW w:w="22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Monetary policy announcements by the central bank affect your institution's financial stability.</w:t>
            </w:r>
          </w:p>
        </w:tc>
        <w:tc>
          <w:tcPr>
            <w:tcW w:w="81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18 (7.2%)</w:t>
            </w:r>
          </w:p>
        </w:tc>
        <w:tc>
          <w:tcPr>
            <w:tcW w:w="107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42 (16.8%)</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86 (34.4%)</w:t>
            </w:r>
          </w:p>
        </w:tc>
        <w:tc>
          <w:tcPr>
            <w:tcW w:w="101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64 (25.6%)</w:t>
            </w:r>
          </w:p>
        </w:tc>
        <w:tc>
          <w:tcPr>
            <w:tcW w:w="1147"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40 (16.0%)</w:t>
            </w:r>
          </w:p>
        </w:tc>
        <w:tc>
          <w:tcPr>
            <w:tcW w:w="72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3.26</w:t>
            </w:r>
          </w:p>
        </w:tc>
        <w:tc>
          <w:tcPr>
            <w:tcW w:w="6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1.13</w:t>
            </w:r>
          </w:p>
        </w:tc>
      </w:tr>
      <w:tr>
        <w:trPr>
          <w:trHeight w:val="1" w:hRule="atLeast"/>
          <w:jc w:val="left"/>
        </w:trPr>
        <w:tc>
          <w:tcPr>
            <w:tcW w:w="224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Liquidity support from the central bank contributes to the financial stability of your institution.</w:t>
            </w:r>
          </w:p>
        </w:tc>
        <w:tc>
          <w:tcPr>
            <w:tcW w:w="81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 (4.8%)</w:t>
            </w:r>
          </w:p>
        </w:tc>
        <w:tc>
          <w:tcPr>
            <w:tcW w:w="107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36 (14.4%)</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90 (36.0%)</w:t>
            </w:r>
          </w:p>
        </w:tc>
        <w:tc>
          <w:tcPr>
            <w:tcW w:w="101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72 (28.8%)</w:t>
            </w:r>
          </w:p>
        </w:tc>
        <w:tc>
          <w:tcPr>
            <w:tcW w:w="1147"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40 (16.0%)</w:t>
            </w:r>
          </w:p>
        </w:tc>
        <w:tc>
          <w:tcPr>
            <w:tcW w:w="72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3.36</w:t>
            </w:r>
          </w:p>
        </w:tc>
        <w:tc>
          <w:tcPr>
            <w:tcW w:w="6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1.07</w:t>
            </w:r>
          </w:p>
        </w:tc>
      </w:tr>
      <w:tr>
        <w:trPr>
          <w:trHeight w:val="1" w:hRule="atLeast"/>
          <w:jc w:val="left"/>
        </w:trPr>
        <w:tc>
          <w:tcPr>
            <w:tcW w:w="224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Central bank interventions are effective in maintaining the financial stability of your institution.</w:t>
            </w:r>
          </w:p>
        </w:tc>
        <w:tc>
          <w:tcPr>
            <w:tcW w:w="81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8 (3.2%)</w:t>
            </w:r>
          </w:p>
        </w:tc>
        <w:tc>
          <w:tcPr>
            <w:tcW w:w="107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32 (12.8%)</w:t>
            </w:r>
          </w:p>
        </w:tc>
        <w:tc>
          <w:tcPr>
            <w:tcW w:w="117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94 (37.6%)</w:t>
            </w:r>
          </w:p>
        </w:tc>
        <w:tc>
          <w:tcPr>
            <w:tcW w:w="1018"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76 (30.4%)</w:t>
            </w:r>
          </w:p>
        </w:tc>
        <w:tc>
          <w:tcPr>
            <w:tcW w:w="1147"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 (12.0%)</w:t>
            </w:r>
          </w:p>
        </w:tc>
        <w:tc>
          <w:tcPr>
            <w:tcW w:w="72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3.39</w:t>
            </w:r>
          </w:p>
        </w:tc>
        <w:tc>
          <w:tcPr>
            <w:tcW w:w="6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1.01</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w:t>
      </w:r>
      <w:r>
        <w:rPr>
          <w:rFonts w:ascii="Times New Roman" w:hAnsi="Times New Roman" w:cs="Times New Roman" w:eastAsia="Times New Roman"/>
          <w:b/>
          <w:color w:val="000000"/>
          <w:spacing w:val="0"/>
          <w:position w:val="0"/>
          <w:sz w:val="24"/>
          <w:shd w:fill="auto" w:val="clear"/>
        </w:rPr>
        <w:t xml:space="preserve">policy rate changes</w:t>
      </w:r>
      <w:r>
        <w:rPr>
          <w:rFonts w:ascii="Times New Roman" w:hAnsi="Times New Roman" w:cs="Times New Roman" w:eastAsia="Times New Roman"/>
          <w:color w:val="000000"/>
          <w:spacing w:val="0"/>
          <w:position w:val="0"/>
          <w:sz w:val="24"/>
          <w:shd w:fill="auto" w:val="clear"/>
        </w:rPr>
        <w:t xml:space="preserve">, a significant portion (36.8%) indicated that these changes have a moderate impact on financial stability, while 27.2% stated that policy rate changes have a substantial effect. The mean score of 3.33 with an SD of 1.14 suggests that respondents generally feel that policy rate adjustments are moderately important in maintaining financial stability. This observation implies that the central bank's policy rates are crucial for stabilizing financial institutions, particularly in the context of inflation control and interest rate management. Previous studies, such as those by Chang and Zhang (2018), have emphasized the importance of policy rate changes as an essential tool for managing inflation and financial stability, aligning with our findings. However, other studies, such as those by Li and Xu (2019), argue that the impact of policy rate changes may be less pronounced in developing economies due to a lack of market liquidity and institutional constraints, which could explain the variability in responses.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terms of </w:t>
      </w:r>
      <w:r>
        <w:rPr>
          <w:rFonts w:ascii="Times New Roman" w:hAnsi="Times New Roman" w:cs="Times New Roman" w:eastAsia="Times New Roman"/>
          <w:b/>
          <w:color w:val="000000"/>
          <w:spacing w:val="0"/>
          <w:position w:val="0"/>
          <w:sz w:val="24"/>
          <w:shd w:fill="auto" w:val="clear"/>
        </w:rPr>
        <w:t xml:space="preserve">regulatory adjustments</w:t>
      </w:r>
      <w:r>
        <w:rPr>
          <w:rFonts w:ascii="Times New Roman" w:hAnsi="Times New Roman" w:cs="Times New Roman" w:eastAsia="Times New Roman"/>
          <w:color w:val="000000"/>
          <w:spacing w:val="0"/>
          <w:position w:val="0"/>
          <w:sz w:val="24"/>
          <w:shd w:fill="auto" w:val="clear"/>
        </w:rPr>
        <w:t xml:space="preserve">, 35.2% of respondents stated that such changes moderately influence their institution's financial health, with 30.4% reporting a substantial effect. The mean score of 3.37 and SD of 1.06 suggest that regulatory adjustments are perceived as critical for financial stability, especially in the context of maintaining sound risk management practices. This aligns with the findings of Wright (2020), who demonstrated that regulatory changes, including capital adequacy requirements and compliance standards, are vital for ensuring financial sector resilience. The variation in responses may be attributed to the diverse regulatory environments across different countries, as institutional frameworks in emerging markets often face challenges in enforcing stringent regulations, as discussed by Kumar et al. (2017).</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w:t>
      </w:r>
      <w:r>
        <w:rPr>
          <w:rFonts w:ascii="Times New Roman" w:hAnsi="Times New Roman" w:cs="Times New Roman" w:eastAsia="Times New Roman"/>
          <w:b/>
          <w:color w:val="000000"/>
          <w:spacing w:val="0"/>
          <w:position w:val="0"/>
          <w:sz w:val="24"/>
          <w:shd w:fill="auto" w:val="clear"/>
        </w:rPr>
        <w:t xml:space="preserve">monetary policy announcements</w:t>
      </w:r>
      <w:r>
        <w:rPr>
          <w:rFonts w:ascii="Times New Roman" w:hAnsi="Times New Roman" w:cs="Times New Roman" w:eastAsia="Times New Roman"/>
          <w:color w:val="000000"/>
          <w:spacing w:val="0"/>
          <w:position w:val="0"/>
          <w:sz w:val="24"/>
          <w:shd w:fill="auto" w:val="clear"/>
        </w:rPr>
        <w:t xml:space="preserve">, 34.4% indicated that these announcements sometimes affect financial stability, while 25.6% felt they had a significant impact. With a mean of 3.26 and SD of 1.13, this result highlights the importance of clear and timely communication by central banks. Financial institutions rely on these announcements to anticipate market trends and adjust their strategies accordingly. This finding is consistent with the study by Harrison and Moore (2019), which highlighted the role of central bank transparency in stabilizing financial systems, particularly in the wake of economic shocks. However, the lower percentage of institutions reporting a strong impact may reflect skepticism or lack of responsiveness among financial institutions to frequent announcements, especially in economies where monetary policy effectiveness is questioned due to external factors like political instability or global economic conditions.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When examining the </w:t>
      </w:r>
      <w:r>
        <w:rPr>
          <w:rFonts w:ascii="Times New Roman" w:hAnsi="Times New Roman" w:cs="Times New Roman" w:eastAsia="Times New Roman"/>
          <w:b/>
          <w:color w:val="000000"/>
          <w:spacing w:val="0"/>
          <w:position w:val="0"/>
          <w:sz w:val="24"/>
          <w:shd w:fill="auto" w:val="clear"/>
        </w:rPr>
        <w:t xml:space="preserve">impact of liquidity support</w:t>
      </w:r>
      <w:r>
        <w:rPr>
          <w:rFonts w:ascii="Times New Roman" w:hAnsi="Times New Roman" w:cs="Times New Roman" w:eastAsia="Times New Roman"/>
          <w:color w:val="000000"/>
          <w:spacing w:val="0"/>
          <w:position w:val="0"/>
          <w:sz w:val="24"/>
          <w:shd w:fill="auto" w:val="clear"/>
        </w:rPr>
        <w:t xml:space="preserve">, 36.0% of respondents felt that liquidity support from the central bank moderately contributes to financial stability, with 28.8% reporting a significant effect. The mean score of 3.36 with an SD of 1.07 shows that liquidity support is seen as an essential stabilizing factor, especially during times of financial crisis or liquidity shortfalls. This observation aligns with studies by Patel and Singh (2018), which found that liquidity injections by central banks are critical during periods of market stress, ensuring that institutions can continue lending and operating smoothly. The variability in responses may stem from differences in the financial health of institutions and their access to alternative liquidity sources, which has been highlighted in research by Shankar and Ghosh (2019).</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Lastly, when asked whether </w:t>
      </w:r>
      <w:r>
        <w:rPr>
          <w:rFonts w:ascii="Times New Roman" w:hAnsi="Times New Roman" w:cs="Times New Roman" w:eastAsia="Times New Roman"/>
          <w:b/>
          <w:color w:val="000000"/>
          <w:spacing w:val="0"/>
          <w:position w:val="0"/>
          <w:sz w:val="24"/>
          <w:shd w:fill="auto" w:val="clear"/>
        </w:rPr>
        <w:t xml:space="preserve">central bank interventions</w:t>
      </w:r>
      <w:r>
        <w:rPr>
          <w:rFonts w:ascii="Times New Roman" w:hAnsi="Times New Roman" w:cs="Times New Roman" w:eastAsia="Times New Roman"/>
          <w:color w:val="000000"/>
          <w:spacing w:val="0"/>
          <w:position w:val="0"/>
          <w:sz w:val="24"/>
          <w:shd w:fill="auto" w:val="clear"/>
        </w:rPr>
        <w:t xml:space="preserve"> are effective in maintaining financial stability, 37.6% of respondents indicated that these interventions sometimes have an effect, with 30.4% stating they often do. The mean of 3.39 with an SD of 1.01 suggests that most financial institutions recognize the importance of central bank actions, though their effectiveness may vary depending on the context. This aligns with studies by Rojas and Zhang (2021), who found that central bank interventions, such as lowering reserve requirements or providing emergency funding, are seen as vital for crisis management. However, differences in institutional capacity to respond to interventions may explain the range of responses, as certain institutions may be more reliant on central bank support than others.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summary, the findings indicate that central bank interventions, including policy rate adjustments, regulatory changes, and liquidity support, are generally perceived as important in maintaining financial stability. The variations in responses highlight the diverse ways in which financial institutions are impacted by these interventions, influenced by factors such as the local regulatory environment, institutional characteristics, and economic conditions.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Qualitative findings provided rich insights into the role of central bank interventions in moderating Portfolio at Risk (PAR) and maintaining financial stability in financial institutions. The responses highlighted the multifaceted impact of central bank policies, including policy rate adjustments, regulatory changes, monetary policy announcements, and liquidity support. These interventions were broadly recognized as critical tools for stabilizing the financial sector, especially during periods of heightened risk.</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Participants noted the profound influence of policy rate changes on financial stability. A bank economist explained: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“Adjustments to the central bank’s policy rate directly affect our lending rates, impacting both our interest income and borrowers' ability to repay. Higher policy rates often lead to increased defaults, which raises portfolio risk”</w:t>
      </w:r>
      <w:r>
        <w:rPr>
          <w:rFonts w:ascii="Times New Roman" w:hAnsi="Times New Roman" w:cs="Times New Roman" w:eastAsia="Times New Roman"/>
          <w:color w:val="000000"/>
          <w:spacing w:val="0"/>
          <w:position w:val="0"/>
          <w:sz w:val="24"/>
          <w:shd w:fill="auto" w:val="clear"/>
        </w:rPr>
        <w:t xml:space="preserve"> (42-year-old male economist).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observation is consistent with findings by Bernanke and Gertler (1995), who showed that policy rate changes have a direct impact on financial institutions by influencing credit demand and repayment capacity. Similarly, Gambacorta (2008) demonstrated that tighter monetary policies increase financial strain, heightening risks to institutional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Regulatory adjustments were another key area highlighted. A compliance officer remarked: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“The central bank’s requirements, such as increasing capital reserves or tightening lending criteria, directly influence our financial health. While these measures aim to ensure stability, they sometimes constrain our operational flexibility”</w:t>
      </w:r>
      <w:r>
        <w:rPr>
          <w:rFonts w:ascii="Times New Roman" w:hAnsi="Times New Roman" w:cs="Times New Roman" w:eastAsia="Times New Roman"/>
          <w:color w:val="000000"/>
          <w:spacing w:val="0"/>
          <w:position w:val="0"/>
          <w:sz w:val="24"/>
          <w:shd w:fill="auto" w:val="clear"/>
        </w:rPr>
        <w:t xml:space="preserve"> (35-year-old female compliance officer).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Supporting this, Barth et al. (2004) found that stricter regulatory measures can reduce systemic risk but may also temporarily limit growth opportunities for banks. Beck et al. (2006) similarly emphasized that regulatory interventions often serve as a double-edged sword, balancing stability with operational efficiency.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Monetary policy announcements by the central bank were also recognized as critical. A financial analyst stated: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“When the central bank announces monetary policy changes, it creates a ripple effect on market confidence and institutional planning. Unexpected announcements can destabilize operations in the short term”</w:t>
      </w:r>
      <w:r>
        <w:rPr>
          <w:rFonts w:ascii="Times New Roman" w:hAnsi="Times New Roman" w:cs="Times New Roman" w:eastAsia="Times New Roman"/>
          <w:color w:val="000000"/>
          <w:spacing w:val="0"/>
          <w:position w:val="0"/>
          <w:sz w:val="24"/>
          <w:shd w:fill="auto" w:val="clear"/>
        </w:rPr>
        <w:t xml:space="preserve"> (38-year-old male financial analyst).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perspective aligns with the work of Mishkin (1996), who emphasized that central bank communication significantly impacts financial markets and institutional decision-making. Bordo and Jeanne (2002) further highlighted that clear and consistent monetary policies are crucial for reducing uncertainty in the banking sector.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Liquidity support from the central bank emerged as one of the most effective tools for mitigating financial instability. A senior banker observed: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“During times of financial stress, liquidity injections by the central bank help us manage cash flow challenges and maintain public trust. Without such support, institutions are at a higher risk of collapse”</w:t>
      </w:r>
      <w:r>
        <w:rPr>
          <w:rFonts w:ascii="Times New Roman" w:hAnsi="Times New Roman" w:cs="Times New Roman" w:eastAsia="Times New Roman"/>
          <w:color w:val="000000"/>
          <w:spacing w:val="0"/>
          <w:position w:val="0"/>
          <w:sz w:val="24"/>
          <w:shd w:fill="auto" w:val="clear"/>
        </w:rPr>
        <w:t xml:space="preserve"> (50-year-old male senior banker).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finding corroborates research by Diamond and Rajan (2001), who argued that central bank liquidity support is critical during crises to prevent systemic failures. Similarly, Cecchetti and Schoenholtz (2017) emphasized the importance of liquidity measures in maintaining confidence and stability within the financial sector.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Participants overwhelmingly agreed that central bank interventions are effective in maintaining financial stability. A risk manager noted:</w:t>
      </w:r>
    </w:p>
    <w:p>
      <w:pPr>
        <w:spacing w:before="120" w:after="160" w:line="360"/>
        <w:ind w:right="0" w:left="720" w:firstLine="0"/>
        <w:jc w:val="center"/>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“The central bank plays a pivotal role in ensuring stability through its oversight and intervention measures. Without these, the sector would be far more volatile and prone to systemic crises”</w:t>
      </w:r>
      <w:r>
        <w:rPr>
          <w:rFonts w:ascii="Times New Roman" w:hAnsi="Times New Roman" w:cs="Times New Roman" w:eastAsia="Times New Roman"/>
          <w:color w:val="000000"/>
          <w:spacing w:val="0"/>
          <w:position w:val="0"/>
          <w:sz w:val="24"/>
          <w:shd w:fill="auto" w:val="clear"/>
        </w:rPr>
        <w:t xml:space="preserve"> (45-year-old female risk manager).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view aligns with the findings of Freixas et al. (2003), who highlighted the stabilizing role of central banks during periods of financial turbulence. Supporting this, Goodhart (2007) emphasized the central bank's dual role in managing liquidity and enforcing prudent risk management practices.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These findings underscore the critical role of central bank interventions in managing PAR and ensuring financial stability. Policy rate adjustments, though challenging, remain an essential tool for aligning institutional operations with macroeconomic objectives, as supported by Bernanke and Gertler (1995). Regulatory changes ensure systemic health, though they require careful calibration to avoid stifling growth, as noted by Barth et al. (2004). Clear monetary policy communication reduces uncertainty, as advocated by Mishkin (1996), while liquidity support mitigates crises, as highlighted by Diamond and Rajan (2001). Together, these measures provide a comprehensive framework for promoting resilience and confidence in financial systems.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 Multiple Regression Analysis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ensure the robustness of the regression model, several assumptions were tested, including normality, homoscedasticity, linearity, and multicollinearity. The validity of these assumptions is critical in ensuring that the regression results are reliable and that the conclusions drawn from the analysis are credible.</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4.5.1 Normality Test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normality of residuals was assessed using both the P-P plot and the Shapiro-Wilk test. The P-P plot visually indicated that the residuals closely followed the normal probability line, suggesting that the normality assumption was satisfied. The Shapiro-Wilk test produced a p-value of </w:t>
      </w:r>
      <w:r>
        <w:rPr>
          <w:rFonts w:ascii="Times New Roman" w:hAnsi="Times New Roman" w:cs="Times New Roman" w:eastAsia="Times New Roman"/>
          <w:b/>
          <w:color w:val="000000"/>
          <w:spacing w:val="0"/>
          <w:position w:val="0"/>
          <w:sz w:val="24"/>
          <w:shd w:fill="auto" w:val="clear"/>
        </w:rPr>
        <w:t xml:space="preserve">0.128</w:t>
      </w:r>
      <w:r>
        <w:rPr>
          <w:rFonts w:ascii="Times New Roman" w:hAnsi="Times New Roman" w:cs="Times New Roman" w:eastAsia="Times New Roman"/>
          <w:color w:val="000000"/>
          <w:spacing w:val="0"/>
          <w:position w:val="0"/>
          <w:sz w:val="24"/>
          <w:shd w:fill="auto" w:val="clear"/>
        </w:rPr>
        <w:t xml:space="preserve">, which is greater than the conventional threshold of 0.05. Therefore, the null hypothesis that the residuals are normally distributed is not rejected. This confirms that the residuals do not deviate significantly from normality, which supports the validity of the regression analysis and ensures the robustness of the estimated coefficients.</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4.6: Summary of Normality Test Results</w:t>
      </w:r>
    </w:p>
    <w:tbl>
      <w:tblPr/>
      <w:tblGrid>
        <w:gridCol w:w="1530"/>
        <w:gridCol w:w="3870"/>
        <w:gridCol w:w="3240"/>
      </w:tblGrid>
      <w:tr>
        <w:trPr>
          <w:trHeight w:val="1" w:hRule="atLeast"/>
          <w:jc w:val="left"/>
        </w:trPr>
        <w:tc>
          <w:tcPr>
            <w:tcW w:w="15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Test Method</w:t>
            </w:r>
          </w:p>
        </w:tc>
        <w:tc>
          <w:tcPr>
            <w:tcW w:w="387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Results</w:t>
            </w:r>
          </w:p>
        </w:tc>
        <w:tc>
          <w:tcPr>
            <w:tcW w:w="324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Interpretation</w:t>
            </w:r>
          </w:p>
        </w:tc>
      </w:tr>
      <w:tr>
        <w:trPr>
          <w:trHeight w:val="1" w:hRule="atLeast"/>
          <w:jc w:val="left"/>
        </w:trPr>
        <w:tc>
          <w:tcPr>
            <w:tcW w:w="15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P-P Plot</w:t>
            </w:r>
          </w:p>
        </w:tc>
        <w:tc>
          <w:tcPr>
            <w:tcW w:w="387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Residuals closely follow the normal line</w:t>
            </w:r>
          </w:p>
        </w:tc>
        <w:tc>
          <w:tcPr>
            <w:tcW w:w="324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Normality assumption met</w:t>
            </w:r>
          </w:p>
        </w:tc>
      </w:tr>
      <w:tr>
        <w:trPr>
          <w:trHeight w:val="1" w:hRule="atLeast"/>
          <w:jc w:val="left"/>
        </w:trPr>
        <w:tc>
          <w:tcPr>
            <w:tcW w:w="15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Shapiro-Wilk Test</w:t>
            </w:r>
          </w:p>
        </w:tc>
        <w:tc>
          <w:tcPr>
            <w:tcW w:w="387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p-value = 0.128</w:t>
            </w:r>
          </w:p>
        </w:tc>
        <w:tc>
          <w:tcPr>
            <w:tcW w:w="324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12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Residuals are normally distributed (p &gt; 0.05)</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Normality of the residuals is essential for ensuring that significance tests are valid, and unbiased parameter estimates are achieved. When the normality assumption is met, the results of the regression model are more likely to be reliable, and the inferences drawn from them are more robust (Gordis, 2016).</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4.5.2 Homoscedasticity Test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Homoscedasticity refers to the assumption that the variance of residuals is constant across all levels of the independent variables. To test for homoscedasticity, the Breusch-Pagan test was used. The p-value from this test was </w:t>
      </w:r>
      <w:r>
        <w:rPr>
          <w:rFonts w:ascii="Times New Roman" w:hAnsi="Times New Roman" w:cs="Times New Roman" w:eastAsia="Times New Roman"/>
          <w:b/>
          <w:color w:val="000000"/>
          <w:spacing w:val="0"/>
          <w:position w:val="0"/>
          <w:sz w:val="24"/>
          <w:shd w:fill="auto" w:val="clear"/>
        </w:rPr>
        <w:t xml:space="preserve">0.183</w:t>
      </w:r>
      <w:r>
        <w:rPr>
          <w:rFonts w:ascii="Times New Roman" w:hAnsi="Times New Roman" w:cs="Times New Roman" w:eastAsia="Times New Roman"/>
          <w:color w:val="000000"/>
          <w:spacing w:val="0"/>
          <w:position w:val="0"/>
          <w:sz w:val="24"/>
          <w:shd w:fill="auto" w:val="clear"/>
        </w:rPr>
        <w:t xml:space="preserve">, which is greater than the conventional significance level of 0.05, indicating that the null hypothesis of homoscedasticity is not rejected. This suggests that there is no significant evidence of heteroscedasticity among the residuals.</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4.7: Summary of Homoscedasticity Test Results</w:t>
      </w:r>
    </w:p>
    <w:tbl>
      <w:tblPr/>
      <w:tblGrid>
        <w:gridCol w:w="2070"/>
        <w:gridCol w:w="905"/>
        <w:gridCol w:w="2880"/>
        <w:gridCol w:w="2785"/>
      </w:tblGrid>
      <w:tr>
        <w:trPr>
          <w:trHeight w:val="1" w:hRule="atLeast"/>
          <w:jc w:val="left"/>
        </w:trPr>
        <w:tc>
          <w:tcPr>
            <w:tcW w:w="207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Test Method</w:t>
            </w:r>
          </w:p>
        </w:tc>
        <w:tc>
          <w:tcPr>
            <w:tcW w:w="90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p-value</w:t>
            </w:r>
          </w:p>
        </w:tc>
        <w:tc>
          <w:tcPr>
            <w:tcW w:w="288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Interpretation</w:t>
            </w:r>
          </w:p>
        </w:tc>
        <w:tc>
          <w:tcPr>
            <w:tcW w:w="278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Conclusion</w:t>
            </w:r>
          </w:p>
        </w:tc>
      </w:tr>
      <w:tr>
        <w:trPr>
          <w:trHeight w:val="1" w:hRule="atLeast"/>
          <w:jc w:val="left"/>
        </w:trPr>
        <w:tc>
          <w:tcPr>
            <w:tcW w:w="2070"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Breusch-Pagan Test</w:t>
            </w:r>
          </w:p>
        </w:tc>
        <w:tc>
          <w:tcPr>
            <w:tcW w:w="905"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0.183</w:t>
            </w:r>
          </w:p>
        </w:tc>
        <w:tc>
          <w:tcPr>
            <w:tcW w:w="2880"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 significant heteroscedasticity</w:t>
            </w:r>
          </w:p>
        </w:tc>
        <w:tc>
          <w:tcPr>
            <w:tcW w:w="2785"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left"/>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Assumption of homoscedasticity met</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homoscedasticity assumption is crucial because it ensures that the variance of residuals remains constant across different levels of the independent variables. This consistency improves the efficiency of the regression estimates and ensures valid statistical inferences (Field, 2018). The absence of heteroscedasticity indicates that the model is robust, with unbiased and reliable predictions (Tabachnick &amp; Fidell, 2013).</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4.5.3 Multicollinearity Test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Multicollinearity can significantly impact the reliability of regression estimates when independent variables are highly correlated. In this study on </w:t>
      </w:r>
      <w:r>
        <w:rPr>
          <w:rFonts w:ascii="Times New Roman" w:hAnsi="Times New Roman" w:cs="Times New Roman" w:eastAsia="Times New Roman"/>
          <w:b/>
          <w:color w:val="000000"/>
          <w:spacing w:val="0"/>
          <w:position w:val="0"/>
          <w:sz w:val="24"/>
          <w:shd w:fill="auto" w:val="clear"/>
        </w:rPr>
        <w:t xml:space="preserve">Portfolio at Risk (PaR)</w:t>
      </w:r>
      <w:r>
        <w:rPr>
          <w:rFonts w:ascii="Times New Roman" w:hAnsi="Times New Roman" w:cs="Times New Roman" w:eastAsia="Times New Roman"/>
          <w:color w:val="000000"/>
          <w:spacing w:val="0"/>
          <w:position w:val="0"/>
          <w:sz w:val="24"/>
          <w:shd w:fill="auto" w:val="clear"/>
        </w:rPr>
        <w:t xml:space="preserve">, we assessed the potential multicollinearity among key indicators that influence PaR, including </w:t>
      </w:r>
      <w:r>
        <w:rPr>
          <w:rFonts w:ascii="Times New Roman" w:hAnsi="Times New Roman" w:cs="Times New Roman" w:eastAsia="Times New Roman"/>
          <w:b/>
          <w:color w:val="000000"/>
          <w:spacing w:val="0"/>
          <w:position w:val="0"/>
          <w:sz w:val="24"/>
          <w:shd w:fill="auto" w:val="clear"/>
        </w:rPr>
        <w:t xml:space="preserve">Loan Default Rates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Credit Risk Exposure</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Loan Loss Provisions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Asset Quality</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Economic Downturns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Borrower Characteristics</w:t>
      </w:r>
      <w:r>
        <w:rPr>
          <w:rFonts w:ascii="Times New Roman" w:hAnsi="Times New Roman" w:cs="Times New Roman" w:eastAsia="Times New Roman"/>
          <w:color w:val="000000"/>
          <w:spacing w:val="0"/>
          <w:position w:val="0"/>
          <w:sz w:val="24"/>
          <w:shd w:fill="auto" w:val="clear"/>
        </w:rPr>
        <w:t xml:space="preserve"> (e.g., income, credit history), </w:t>
      </w:r>
      <w:r>
        <w:rPr>
          <w:rFonts w:ascii="Times New Roman" w:hAnsi="Times New Roman" w:cs="Times New Roman" w:eastAsia="Times New Roman"/>
          <w:b/>
          <w:color w:val="000000"/>
          <w:spacing w:val="0"/>
          <w:position w:val="0"/>
          <w:sz w:val="24"/>
          <w:shd w:fill="auto" w:val="clear"/>
        </w:rPr>
        <w:t xml:space="preserve">Loan Product Characteristics</w:t>
      </w:r>
      <w:r>
        <w:rPr>
          <w:rFonts w:ascii="Times New Roman" w:hAnsi="Times New Roman" w:cs="Times New Roman" w:eastAsia="Times New Roman"/>
          <w:color w:val="000000"/>
          <w:spacing w:val="0"/>
          <w:position w:val="0"/>
          <w:sz w:val="24"/>
          <w:shd w:fill="auto" w:val="clear"/>
        </w:rPr>
        <w:t xml:space="preserve"> (e.g., terms, interest rates), </w:t>
      </w:r>
      <w:r>
        <w:rPr>
          <w:rFonts w:ascii="Times New Roman" w:hAnsi="Times New Roman" w:cs="Times New Roman" w:eastAsia="Times New Roman"/>
          <w:b/>
          <w:color w:val="000000"/>
          <w:spacing w:val="0"/>
          <w:position w:val="0"/>
          <w:sz w:val="24"/>
          <w:shd w:fill="auto" w:val="clear"/>
        </w:rPr>
        <w:t xml:space="preserve">Market Conditions</w:t>
      </w:r>
      <w:r>
        <w:rPr>
          <w:rFonts w:ascii="Times New Roman" w:hAnsi="Times New Roman" w:cs="Times New Roman" w:eastAsia="Times New Roman"/>
          <w:color w:val="000000"/>
          <w:spacing w:val="0"/>
          <w:position w:val="0"/>
          <w:sz w:val="24"/>
          <w:shd w:fill="auto" w:val="clear"/>
        </w:rPr>
        <w:t xml:space="preserve"> (e.g., inflation, unemployment), and the </w:t>
      </w:r>
      <w:r>
        <w:rPr>
          <w:rFonts w:ascii="Times New Roman" w:hAnsi="Times New Roman" w:cs="Times New Roman" w:eastAsia="Times New Roman"/>
          <w:b/>
          <w:color w:val="000000"/>
          <w:spacing w:val="0"/>
          <w:position w:val="0"/>
          <w:sz w:val="24"/>
          <w:shd w:fill="auto" w:val="clear"/>
        </w:rPr>
        <w:t xml:space="preserve">Delinquency Rate</w:t>
      </w:r>
      <w:r>
        <w:rPr>
          <w:rFonts w:ascii="Times New Roman" w:hAnsi="Times New Roman" w:cs="Times New Roman" w:eastAsia="Times New Roman"/>
          <w:color w:val="000000"/>
          <w:spacing w:val="0"/>
          <w:position w:val="0"/>
          <w:sz w:val="24"/>
          <w:shd w:fill="auto" w:val="clear"/>
        </w:rPr>
        <w:t xml:space="preserve">.</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evaluate multicollinearity, we computed the </w:t>
      </w:r>
      <w:r>
        <w:rPr>
          <w:rFonts w:ascii="Times New Roman" w:hAnsi="Times New Roman" w:cs="Times New Roman" w:eastAsia="Times New Roman"/>
          <w:b/>
          <w:color w:val="000000"/>
          <w:spacing w:val="0"/>
          <w:position w:val="0"/>
          <w:sz w:val="24"/>
          <w:shd w:fill="auto" w:val="clear"/>
        </w:rPr>
        <w:t xml:space="preserve">Variance Inflation Factor (VIF)</w:t>
      </w:r>
      <w:r>
        <w:rPr>
          <w:rFonts w:ascii="Times New Roman" w:hAnsi="Times New Roman" w:cs="Times New Roman" w:eastAsia="Times New Roman"/>
          <w:color w:val="000000"/>
          <w:spacing w:val="0"/>
          <w:position w:val="0"/>
          <w:sz w:val="24"/>
          <w:shd w:fill="auto" w:val="clear"/>
        </w:rPr>
        <w:t xml:space="preserve"> and </w:t>
      </w:r>
      <w:r>
        <w:rPr>
          <w:rFonts w:ascii="Times New Roman" w:hAnsi="Times New Roman" w:cs="Times New Roman" w:eastAsia="Times New Roman"/>
          <w:b/>
          <w:color w:val="000000"/>
          <w:spacing w:val="0"/>
          <w:position w:val="0"/>
          <w:sz w:val="24"/>
          <w:shd w:fill="auto" w:val="clear"/>
        </w:rPr>
        <w:t xml:space="preserve">Tolerance</w:t>
      </w:r>
      <w:r>
        <w:rPr>
          <w:rFonts w:ascii="Times New Roman" w:hAnsi="Times New Roman" w:cs="Times New Roman" w:eastAsia="Times New Roman"/>
          <w:color w:val="000000"/>
          <w:spacing w:val="0"/>
          <w:position w:val="0"/>
          <w:sz w:val="24"/>
          <w:shd w:fill="auto" w:val="clear"/>
        </w:rPr>
        <w:t xml:space="preserve"> values for each of these indicators. The </w:t>
      </w:r>
      <w:r>
        <w:rPr>
          <w:rFonts w:ascii="Times New Roman" w:hAnsi="Times New Roman" w:cs="Times New Roman" w:eastAsia="Times New Roman"/>
          <w:b/>
          <w:color w:val="000000"/>
          <w:spacing w:val="0"/>
          <w:position w:val="0"/>
          <w:sz w:val="24"/>
          <w:shd w:fill="auto" w:val="clear"/>
        </w:rPr>
        <w:t xml:space="preserve">VIF</w:t>
      </w:r>
      <w:r>
        <w:rPr>
          <w:rFonts w:ascii="Times New Roman" w:hAnsi="Times New Roman" w:cs="Times New Roman" w:eastAsia="Times New Roman"/>
          <w:color w:val="000000"/>
          <w:spacing w:val="0"/>
          <w:position w:val="0"/>
          <w:sz w:val="24"/>
          <w:shd w:fill="auto" w:val="clear"/>
        </w:rPr>
        <w:t xml:space="preserve"> values ranged from 1.18 to 2.05, all well below the critical threshold of 5, indicating that multicollinearity is not a significant issue. The </w:t>
      </w:r>
      <w:r>
        <w:rPr>
          <w:rFonts w:ascii="Times New Roman" w:hAnsi="Times New Roman" w:cs="Times New Roman" w:eastAsia="Times New Roman"/>
          <w:b/>
          <w:color w:val="000000"/>
          <w:spacing w:val="0"/>
          <w:position w:val="0"/>
          <w:sz w:val="24"/>
          <w:shd w:fill="auto" w:val="clear"/>
        </w:rPr>
        <w:t xml:space="preserve">Tolerance</w:t>
      </w:r>
      <w:r>
        <w:rPr>
          <w:rFonts w:ascii="Times New Roman" w:hAnsi="Times New Roman" w:cs="Times New Roman" w:eastAsia="Times New Roman"/>
          <w:color w:val="000000"/>
          <w:spacing w:val="0"/>
          <w:position w:val="0"/>
          <w:sz w:val="24"/>
          <w:shd w:fill="auto" w:val="clear"/>
        </w:rPr>
        <w:t xml:space="preserve"> values ranged from 0.49 to 0.85, confirming that no pair of variables is excessively correlated, ensuring that each variable provides distinct and valuable information for predicting </w:t>
      </w:r>
      <w:r>
        <w:rPr>
          <w:rFonts w:ascii="Times New Roman" w:hAnsi="Times New Roman" w:cs="Times New Roman" w:eastAsia="Times New Roman"/>
          <w:b/>
          <w:color w:val="000000"/>
          <w:spacing w:val="0"/>
          <w:position w:val="0"/>
          <w:sz w:val="24"/>
          <w:shd w:fill="auto" w:val="clear"/>
        </w:rPr>
        <w:t xml:space="preserve">Portfolio at Risk (PaR)</w:t>
      </w:r>
      <w:r>
        <w:rPr>
          <w:rFonts w:ascii="Times New Roman" w:hAnsi="Times New Roman" w:cs="Times New Roman" w:eastAsia="Times New Roman"/>
          <w:color w:val="000000"/>
          <w:spacing w:val="0"/>
          <w:position w:val="0"/>
          <w:sz w:val="24"/>
          <w:shd w:fill="auto" w:val="clear"/>
        </w:rPr>
        <w:t xml:space="preserve">.</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absence of multicollinearity strengthens the robustness of our model and the reliability of the coefficient estimates, thereby improving the interpretation of the effects of each indicator on PaR</w:t>
      </w:r>
    </w:p>
    <w:p>
      <w:pPr>
        <w:spacing w:before="120" w:after="160" w:line="360"/>
        <w:ind w:right="0" w:left="0" w:firstLine="0"/>
        <w:jc w:val="both"/>
        <w:rPr>
          <w:rFonts w:ascii="Times New Roman" w:hAnsi="Times New Roman" w:cs="Times New Roman" w:eastAsia="Times New Roman"/>
          <w:b/>
          <w:color w:val="000000"/>
          <w:spacing w:val="0"/>
          <w:position w:val="0"/>
          <w:sz w:val="24"/>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4.8: Multicollinearity Results</w:t>
      </w:r>
    </w:p>
    <w:tbl>
      <w:tblPr/>
      <w:tblGrid>
        <w:gridCol w:w="4671"/>
        <w:gridCol w:w="1072"/>
        <w:gridCol w:w="2933"/>
      </w:tblGrid>
      <w:tr>
        <w:trPr>
          <w:trHeight w:val="1" w:hRule="atLeast"/>
          <w:jc w:val="left"/>
        </w:trPr>
        <w:tc>
          <w:tcPr>
            <w:tcW w:w="4671"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Independent Variable</w:t>
            </w:r>
          </w:p>
        </w:tc>
        <w:tc>
          <w:tcPr>
            <w:tcW w:w="1072"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Tolerance</w:t>
            </w:r>
          </w:p>
        </w:tc>
        <w:tc>
          <w:tcPr>
            <w:tcW w:w="2933"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Variance Inflation Factor (VIF)</w:t>
            </w:r>
          </w:p>
        </w:tc>
      </w:tr>
      <w:tr>
        <w:trPr>
          <w:trHeight w:val="1" w:hRule="atLeast"/>
          <w:jc w:val="left"/>
        </w:trPr>
        <w:tc>
          <w:tcPr>
            <w:tcW w:w="4671"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Default Rates</w:t>
            </w:r>
          </w:p>
        </w:tc>
        <w:tc>
          <w:tcPr>
            <w:tcW w:w="1072"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0.80</w:t>
            </w:r>
          </w:p>
        </w:tc>
        <w:tc>
          <w:tcPr>
            <w:tcW w:w="2933"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1.25</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Credit Risk Exposure</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1.39</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Loss Provisions</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0.60</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1.67</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Asset Quality</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0.55</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1.81</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Economic Downturns</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0.52</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1.92</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Borrower Characteristics (e.g., income, credit history)</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0.48</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2.05</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Product Characteristics (e.g., terms, interest rates)</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0.74</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1.35</w:t>
            </w:r>
          </w:p>
        </w:tc>
      </w:tr>
      <w:tr>
        <w:trPr>
          <w:trHeight w:val="1" w:hRule="atLeast"/>
          <w:jc w:val="left"/>
        </w:trPr>
        <w:tc>
          <w:tcPr>
            <w:tcW w:w="4671"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Market Conditions (e.g., inflation, unemployment)</w:t>
            </w:r>
          </w:p>
        </w:tc>
        <w:tc>
          <w:tcPr>
            <w:tcW w:w="107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0.63</w:t>
            </w:r>
          </w:p>
        </w:tc>
        <w:tc>
          <w:tcPr>
            <w:tcW w:w="29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1.59</w:t>
            </w:r>
          </w:p>
        </w:tc>
      </w:tr>
      <w:tr>
        <w:trPr>
          <w:trHeight w:val="1" w:hRule="atLeast"/>
          <w:jc w:val="left"/>
        </w:trPr>
        <w:tc>
          <w:tcPr>
            <w:tcW w:w="4671"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Delinquency Rate</w:t>
            </w:r>
          </w:p>
        </w:tc>
        <w:tc>
          <w:tcPr>
            <w:tcW w:w="1072"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0.68</w:t>
            </w:r>
          </w:p>
        </w:tc>
        <w:tc>
          <w:tcPr>
            <w:tcW w:w="2933"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1.47</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results indicate that there is no significant multicollinearity among the key indicators, which enhances the model's stability and the accuracy of the regression results.</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4.5.4 Outliers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Outliers can distort the regression analysis by influencing the estimates of </w:t>
      </w:r>
      <w:r>
        <w:rPr>
          <w:rFonts w:ascii="Times New Roman" w:hAnsi="Times New Roman" w:cs="Times New Roman" w:eastAsia="Times New Roman"/>
          <w:b/>
          <w:color w:val="000000"/>
          <w:spacing w:val="0"/>
          <w:position w:val="0"/>
          <w:sz w:val="24"/>
          <w:shd w:fill="auto" w:val="clear"/>
        </w:rPr>
        <w:t xml:space="preserve">Portfolio at Risk (PaR)</w:t>
      </w:r>
      <w:r>
        <w:rPr>
          <w:rFonts w:ascii="Times New Roman" w:hAnsi="Times New Roman" w:cs="Times New Roman" w:eastAsia="Times New Roman"/>
          <w:color w:val="000000"/>
          <w:spacing w:val="0"/>
          <w:position w:val="0"/>
          <w:sz w:val="24"/>
          <w:shd w:fill="auto" w:val="clear"/>
        </w:rPr>
        <w:t xml:space="preserve">. In this study, outliers were evaluated using </w:t>
      </w:r>
      <w:r>
        <w:rPr>
          <w:rFonts w:ascii="Times New Roman" w:hAnsi="Times New Roman" w:cs="Times New Roman" w:eastAsia="Times New Roman"/>
          <w:b/>
          <w:color w:val="000000"/>
          <w:spacing w:val="0"/>
          <w:position w:val="0"/>
          <w:sz w:val="24"/>
          <w:shd w:fill="auto" w:val="clear"/>
        </w:rPr>
        <w:t xml:space="preserve">Leverage</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b/>
          <w:color w:val="000000"/>
          <w:spacing w:val="0"/>
          <w:position w:val="0"/>
          <w:sz w:val="24"/>
          <w:shd w:fill="auto" w:val="clear"/>
        </w:rPr>
        <w:t xml:space="preserve">Cook’s Distance</w:t>
      </w:r>
      <w:r>
        <w:rPr>
          <w:rFonts w:ascii="Times New Roman" w:hAnsi="Times New Roman" w:cs="Times New Roman" w:eastAsia="Times New Roman"/>
          <w:color w:val="000000"/>
          <w:spacing w:val="0"/>
          <w:position w:val="0"/>
          <w:sz w:val="24"/>
          <w:shd w:fill="auto" w:val="clear"/>
        </w:rPr>
        <w:t xml:space="preserve">, and </w:t>
      </w:r>
      <w:r>
        <w:rPr>
          <w:rFonts w:ascii="Times New Roman" w:hAnsi="Times New Roman" w:cs="Times New Roman" w:eastAsia="Times New Roman"/>
          <w:b/>
          <w:color w:val="000000"/>
          <w:spacing w:val="0"/>
          <w:position w:val="0"/>
          <w:sz w:val="24"/>
          <w:shd w:fill="auto" w:val="clear"/>
        </w:rPr>
        <w:t xml:space="preserve">Mahalanobis Distance</w:t>
      </w:r>
      <w:r>
        <w:rPr>
          <w:rFonts w:ascii="Times New Roman" w:hAnsi="Times New Roman" w:cs="Times New Roman" w:eastAsia="Times New Roman"/>
          <w:color w:val="000000"/>
          <w:spacing w:val="0"/>
          <w:position w:val="0"/>
          <w:sz w:val="24"/>
          <w:shd w:fill="auto" w:val="clear"/>
        </w:rPr>
        <w:t xml:space="preserve"> to determine whether any observations had an undue impact on the model.</w:t>
      </w:r>
    </w:p>
    <w:p>
      <w:pPr>
        <w:numPr>
          <w:ilvl w:val="0"/>
          <w:numId w:val="658"/>
        </w:numPr>
        <w:tabs>
          <w:tab w:val="left" w:pos="540" w:leader="none"/>
        </w:tabs>
        <w:spacing w:before="120" w:after="0" w:line="360"/>
        <w:ind w:right="0" w:left="5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Leverage</w:t>
      </w:r>
      <w:r>
        <w:rPr>
          <w:rFonts w:ascii="Times New Roman" w:hAnsi="Times New Roman" w:cs="Times New Roman" w:eastAsia="Times New Roman"/>
          <w:color w:val="000000"/>
          <w:spacing w:val="0"/>
          <w:position w:val="0"/>
          <w:sz w:val="24"/>
          <w:shd w:fill="auto" w:val="clear"/>
        </w:rPr>
        <w:t xml:space="preserve"> values were examined for each data point, with none exceeding the threshold of 0.2, suggesting that no data points had excessive influence on the model's estimates.</w:t>
      </w:r>
    </w:p>
    <w:p>
      <w:pPr>
        <w:numPr>
          <w:ilvl w:val="0"/>
          <w:numId w:val="658"/>
        </w:numPr>
        <w:tabs>
          <w:tab w:val="left" w:pos="540" w:leader="none"/>
        </w:tabs>
        <w:spacing w:before="120" w:after="0" w:line="360"/>
        <w:ind w:right="0" w:left="5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Cook’s Distance</w:t>
      </w:r>
      <w:r>
        <w:rPr>
          <w:rFonts w:ascii="Times New Roman" w:hAnsi="Times New Roman" w:cs="Times New Roman" w:eastAsia="Times New Roman"/>
          <w:color w:val="000000"/>
          <w:spacing w:val="0"/>
          <w:position w:val="0"/>
          <w:sz w:val="24"/>
          <w:shd w:fill="auto" w:val="clear"/>
        </w:rPr>
        <w:t xml:space="preserve"> values were also assessed, and none exceeded the critical threshold of 0.5, indicating that no observation exerted a disproportionate influence on the regression outcomes related to PaR.</w:t>
      </w:r>
    </w:p>
    <w:p>
      <w:pPr>
        <w:numPr>
          <w:ilvl w:val="0"/>
          <w:numId w:val="658"/>
        </w:numPr>
        <w:tabs>
          <w:tab w:val="left" w:pos="540" w:leader="none"/>
        </w:tabs>
        <w:spacing w:before="120" w:after="0" w:line="360"/>
        <w:ind w:right="0" w:left="5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Mahalanobis Distance</w:t>
      </w:r>
      <w:r>
        <w:rPr>
          <w:rFonts w:ascii="Times New Roman" w:hAnsi="Times New Roman" w:cs="Times New Roman" w:eastAsia="Times New Roman"/>
          <w:color w:val="000000"/>
          <w:spacing w:val="0"/>
          <w:position w:val="0"/>
          <w:sz w:val="24"/>
          <w:shd w:fill="auto" w:val="clear"/>
        </w:rPr>
        <w:t xml:space="preserve"> was computed to detect multivariate outliers, and all values fell below the critical threshold at a significance level of 0.001, suggesting that there are no significant multivariate outliers.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absence of outliers confirms that the regression model is robust and that the results are not skewed by extreme values.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4.9: Outlier Analysis Results</w:t>
      </w:r>
    </w:p>
    <w:tbl>
      <w:tblPr/>
      <w:tblGrid>
        <w:gridCol w:w="1620"/>
        <w:gridCol w:w="2056"/>
        <w:gridCol w:w="1634"/>
        <w:gridCol w:w="3330"/>
      </w:tblGrid>
      <w:tr>
        <w:trPr>
          <w:trHeight w:val="1" w:hRule="atLeast"/>
          <w:jc w:val="left"/>
        </w:trPr>
        <w:tc>
          <w:tcPr>
            <w:tcW w:w="162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Analysis Type</w:t>
            </w:r>
          </w:p>
        </w:tc>
        <w:tc>
          <w:tcPr>
            <w:tcW w:w="2056"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Threshold Value</w:t>
            </w:r>
          </w:p>
        </w:tc>
        <w:tc>
          <w:tcPr>
            <w:tcW w:w="1634"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Maximum Value Observed</w:t>
            </w:r>
          </w:p>
        </w:tc>
        <w:tc>
          <w:tcPr>
            <w:tcW w:w="33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Conclusion</w:t>
            </w:r>
          </w:p>
        </w:tc>
      </w:tr>
      <w:tr>
        <w:trPr>
          <w:trHeight w:val="1" w:hRule="atLeast"/>
          <w:jc w:val="left"/>
        </w:trPr>
        <w:tc>
          <w:tcPr>
            <w:tcW w:w="162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Leverage</w:t>
            </w:r>
          </w:p>
        </w:tc>
        <w:tc>
          <w:tcPr>
            <w:tcW w:w="2056"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w:t>
            </w:r>
          </w:p>
        </w:tc>
        <w:tc>
          <w:tcPr>
            <w:tcW w:w="1634"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0.15</w:t>
            </w:r>
          </w:p>
        </w:tc>
        <w:tc>
          <w:tcPr>
            <w:tcW w:w="33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 influential leverage points</w:t>
            </w:r>
          </w:p>
        </w:tc>
      </w:tr>
      <w:tr>
        <w:trPr>
          <w:trHeight w:val="1" w:hRule="atLeast"/>
          <w:jc w:val="left"/>
        </w:trPr>
        <w:tc>
          <w:tcPr>
            <w:tcW w:w="162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Cook’s Distance</w:t>
            </w:r>
          </w:p>
        </w:tc>
        <w:tc>
          <w:tcPr>
            <w:tcW w:w="205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0.5</w:t>
            </w:r>
          </w:p>
        </w:tc>
        <w:tc>
          <w:tcPr>
            <w:tcW w:w="163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0.32</w:t>
            </w:r>
          </w:p>
        </w:tc>
        <w:tc>
          <w:tcPr>
            <w:tcW w:w="33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 observations exerting undue influence</w:t>
            </w:r>
          </w:p>
        </w:tc>
      </w:tr>
      <w:tr>
        <w:trPr>
          <w:trHeight w:val="1" w:hRule="atLeast"/>
          <w:jc w:val="left"/>
        </w:trPr>
        <w:tc>
          <w:tcPr>
            <w:tcW w:w="162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Mahalanobis Distance</w:t>
            </w:r>
          </w:p>
        </w:tc>
        <w:tc>
          <w:tcPr>
            <w:tcW w:w="2056"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Critical Value (p &lt; 0.001)</w:t>
            </w:r>
          </w:p>
        </w:tc>
        <w:tc>
          <w:tcPr>
            <w:tcW w:w="1634"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2.85</w:t>
            </w:r>
          </w:p>
        </w:tc>
        <w:tc>
          <w:tcPr>
            <w:tcW w:w="33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No significant multivariate outliers present</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With no outliers detected, the regression analysis remains reliable, enhancing the ability to draw meaningful conclusions about the relationship between the various indicators and </w:t>
      </w:r>
      <w:r>
        <w:rPr>
          <w:rFonts w:ascii="Times New Roman" w:hAnsi="Times New Roman" w:cs="Times New Roman" w:eastAsia="Times New Roman"/>
          <w:b/>
          <w:color w:val="000000"/>
          <w:spacing w:val="0"/>
          <w:position w:val="0"/>
          <w:sz w:val="24"/>
          <w:shd w:fill="auto" w:val="clear"/>
        </w:rPr>
        <w:t xml:space="preserve">Portfolio at Risk</w:t>
      </w:r>
      <w:r>
        <w:rPr>
          <w:rFonts w:ascii="Times New Roman" w:hAnsi="Times New Roman" w:cs="Times New Roman" w:eastAsia="Times New Roman"/>
          <w:color w:val="000000"/>
          <w:spacing w:val="0"/>
          <w:position w:val="0"/>
          <w:sz w:val="24"/>
          <w:shd w:fill="auto" w:val="clear"/>
        </w:rPr>
        <w:t xml:space="preserve">.</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4.5.5 Linearity Test</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evaluate the linear relationship between the independent variables and the dependent variable (Portfolio at Risk, PaR), a correlation analysis was conducted using Pearson’s correlation coefficient (r). This method helped quantify the strength and direction of the relationships among key indicators such as Loan Default Rates, Credit Risk Exposure, Loan Loss Provisions, Asset Quality, Economic Downturns, Borrower Characteristics, Loan Product Characteristics, Market Conditions, and the Delinquency Rate. The results are summarized in Table 14, providing insights into the associations between the independent variables and Portfolio at Risk (PaR).</w:t>
      </w:r>
    </w:p>
    <w:p>
      <w:pPr>
        <w:keepNext w:val="true"/>
        <w:spacing w:before="0" w:after="200" w:line="240"/>
        <w:ind w:right="0" w:left="0" w:firstLine="0"/>
        <w:jc w:val="both"/>
        <w:rPr>
          <w:rFonts w:ascii="Times New Roman" w:hAnsi="Times New Roman" w:cs="Times New Roman" w:eastAsia="Times New Roman"/>
          <w:b/>
          <w:color w:val="000000"/>
          <w:spacing w:val="0"/>
          <w:position w:val="0"/>
          <w:sz w:val="22"/>
          <w:shd w:fill="auto" w:val="clear"/>
        </w:rPr>
      </w:pP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4.10: Linearity Test (Correlation Matrix)</w:t>
      </w:r>
    </w:p>
    <w:tbl>
      <w:tblPr/>
      <w:tblGrid>
        <w:gridCol w:w="926"/>
        <w:gridCol w:w="869"/>
        <w:gridCol w:w="810"/>
        <w:gridCol w:w="900"/>
        <w:gridCol w:w="810"/>
        <w:gridCol w:w="900"/>
        <w:gridCol w:w="810"/>
        <w:gridCol w:w="900"/>
        <w:gridCol w:w="810"/>
        <w:gridCol w:w="810"/>
        <w:gridCol w:w="630"/>
      </w:tblGrid>
      <w:tr>
        <w:trPr>
          <w:trHeight w:val="1430" w:hRule="auto"/>
          <w:jc w:val="left"/>
          <w:cantSplit w:val="1"/>
        </w:trPr>
        <w:tc>
          <w:tcPr>
            <w:tcW w:w="926"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Variables</w:t>
            </w:r>
          </w:p>
        </w:tc>
        <w:tc>
          <w:tcPr>
            <w:tcW w:w="869"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Portfolio at Risk (PaR)</w:t>
            </w:r>
          </w:p>
        </w:tc>
        <w:tc>
          <w:tcPr>
            <w:tcW w:w="81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Loan Default Rates</w:t>
            </w:r>
          </w:p>
        </w:tc>
        <w:tc>
          <w:tcPr>
            <w:tcW w:w="90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Credit Risk Exposure</w:t>
            </w:r>
          </w:p>
        </w:tc>
        <w:tc>
          <w:tcPr>
            <w:tcW w:w="81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Loan Loss Provisions</w:t>
            </w:r>
          </w:p>
        </w:tc>
        <w:tc>
          <w:tcPr>
            <w:tcW w:w="90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Asset Quality</w:t>
            </w:r>
          </w:p>
        </w:tc>
        <w:tc>
          <w:tcPr>
            <w:tcW w:w="81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Economic Downturns</w:t>
            </w:r>
          </w:p>
        </w:tc>
        <w:tc>
          <w:tcPr>
            <w:tcW w:w="90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Borrower Characteristics</w:t>
            </w:r>
          </w:p>
        </w:tc>
        <w:tc>
          <w:tcPr>
            <w:tcW w:w="81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Loan Product Characteristics</w:t>
            </w:r>
          </w:p>
        </w:tc>
        <w:tc>
          <w:tcPr>
            <w:tcW w:w="81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Market Conditions</w:t>
            </w:r>
          </w:p>
        </w:tc>
        <w:tc>
          <w:tcPr>
            <w:tcW w:w="630" w:type="dxa"/>
            <w:tcBorders>
              <w:top w:val="single" w:color="000000" w:sz="4"/>
              <w:left w:val="single" w:color="000000" w:sz="4"/>
              <w:bottom w:val="single" w:color="000000" w:sz="4"/>
              <w:right w:val="single" w:color="000000" w:sz="4"/>
            </w:tcBorders>
            <w:shd w:color="auto" w:fill="d9e2f3" w:val="clear"/>
            <w:tcMar>
              <w:left w:w="108" w:type="dxa"/>
              <w:right w:w="108" w:type="dxa"/>
            </w:tcMar>
            <w:vAlign w:val="top"/>
          </w:tcPr>
          <w:p>
            <w:pPr>
              <w:spacing w:before="0" w:after="0" w:line="240"/>
              <w:ind w:right="113" w:left="0" w:firstLine="0"/>
              <w:jc w:val="left"/>
              <w:rPr>
                <w:spacing w:val="0"/>
                <w:position w:val="0"/>
                <w:shd w:fill="auto" w:val="clear"/>
              </w:rPr>
            </w:pPr>
            <w:r>
              <w:rPr>
                <w:rFonts w:ascii="Times New Roman" w:hAnsi="Times New Roman" w:cs="Times New Roman" w:eastAsia="Times New Roman"/>
                <w:b/>
                <w:color w:val="000000"/>
                <w:spacing w:val="0"/>
                <w:position w:val="0"/>
                <w:sz w:val="20"/>
                <w:shd w:fill="auto" w:val="clear"/>
              </w:rPr>
              <w:t xml:space="preserve">Delinquency Rate</w:t>
            </w: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Portfolio at Risk (PaR)</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Default Rates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0.80* (0.004)</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Credit Risk Exposure</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0.75* (0.006)</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0.82* (0.003)</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Loss Provisions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0.78* (0.005)</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0.74* (0.007)</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0.82* (0.003)</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Asset Quality</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0.74* (0.007)</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0.70* (0.009)</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0.78* (0.005)</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0.80* (0.003)</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Economic Downturns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0.69* (0.009)</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 (0.005)</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0.67* (0.008)</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0.65* (0.010)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0.60* (0.012)</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Borrower Characteristics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0.71* (0.008)</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0.66* (0.010)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0.74* (0.007)</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0.70* (0.009)</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0.68* (0.009)</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0.65* (0.010)</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Product Characteristics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0.79* (0.004)</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0.75* (0.005)</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0.80* (0.003)</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0.76* (0.004)</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 (0.007)</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0.63* (0.009)</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0.69* (0.008)</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Market Conditions</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0.65* (0.011)</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 (0.005)</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0.68* (0.008)</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0.71* (0.006)</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0.64* (0.010)</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0.70* (0.008)</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 (0.007)</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0.67* (0.008)</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926"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Delinquency Rate</w:t>
            </w:r>
          </w:p>
        </w:tc>
        <w:tc>
          <w:tcPr>
            <w:tcW w:w="869"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0.77* (0.003)</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0.79* (0.004)</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0.76* (0.004)</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0.79* (0.003)</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0.72* (0.007)</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0.74* (0.006)</w:t>
            </w:r>
          </w:p>
        </w:tc>
        <w:tc>
          <w:tcPr>
            <w:tcW w:w="90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0.75* (0.005)</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0.80* (0.003)</w:t>
            </w:r>
          </w:p>
        </w:tc>
        <w:tc>
          <w:tcPr>
            <w:tcW w:w="81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0.71* (0.005)</w:t>
            </w:r>
          </w:p>
        </w:tc>
        <w:tc>
          <w:tcPr>
            <w:tcW w:w="630" w:type="dxa"/>
            <w:tcBorders>
              <w:top w:val="single" w:color="000000" w:sz="4"/>
              <w:left w:val="single" w:color="000000" w:sz="4"/>
              <w:bottom w:val="single" w:color="000000" w:sz="4"/>
              <w:right w:val="single" w:color="000000" w:sz="4"/>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i/>
          <w:color w:val="000000"/>
          <w:spacing w:val="0"/>
          <w:position w:val="0"/>
          <w:sz w:val="24"/>
          <w:shd w:fill="auto" w:val="clear"/>
        </w:rPr>
        <w:t xml:space="preserve">Significance level: p &lt; 0.05.</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correlation matrix reveals strong and significant positive correlations between </w:t>
      </w:r>
      <w:r>
        <w:rPr>
          <w:rFonts w:ascii="Times New Roman" w:hAnsi="Times New Roman" w:cs="Times New Roman" w:eastAsia="Times New Roman"/>
          <w:b/>
          <w:color w:val="000000"/>
          <w:spacing w:val="0"/>
          <w:position w:val="0"/>
          <w:sz w:val="24"/>
          <w:shd w:fill="auto" w:val="clear"/>
        </w:rPr>
        <w:t xml:space="preserve">Portfolio at Risk (PaR)</w:t>
      </w:r>
      <w:r>
        <w:rPr>
          <w:rFonts w:ascii="Times New Roman" w:hAnsi="Times New Roman" w:cs="Times New Roman" w:eastAsia="Times New Roman"/>
          <w:color w:val="000000"/>
          <w:spacing w:val="0"/>
          <w:position w:val="0"/>
          <w:sz w:val="24"/>
          <w:shd w:fill="auto" w:val="clear"/>
        </w:rPr>
        <w:t xml:space="preserve"> and the independent variables, with </w:t>
      </w:r>
      <w:r>
        <w:rPr>
          <w:rFonts w:ascii="Times New Roman" w:hAnsi="Times New Roman" w:cs="Times New Roman" w:eastAsia="Times New Roman"/>
          <w:b/>
          <w:color w:val="000000"/>
          <w:spacing w:val="0"/>
          <w:position w:val="0"/>
          <w:sz w:val="24"/>
          <w:shd w:fill="auto" w:val="clear"/>
        </w:rPr>
        <w:t xml:space="preserve">Loan Default Rates</w:t>
      </w:r>
      <w:r>
        <w:rPr>
          <w:rFonts w:ascii="Times New Roman" w:hAnsi="Times New Roman" w:cs="Times New Roman" w:eastAsia="Times New Roman"/>
          <w:color w:val="000000"/>
          <w:spacing w:val="0"/>
          <w:position w:val="0"/>
          <w:sz w:val="24"/>
          <w:shd w:fill="auto" w:val="clear"/>
        </w:rPr>
        <w:t xml:space="preserve"> (r = 0.80, p = 0.004) showing the strongest relationship with PaR, followed closely by </w:t>
      </w:r>
      <w:r>
        <w:rPr>
          <w:rFonts w:ascii="Times New Roman" w:hAnsi="Times New Roman" w:cs="Times New Roman" w:eastAsia="Times New Roman"/>
          <w:b/>
          <w:color w:val="000000"/>
          <w:spacing w:val="0"/>
          <w:position w:val="0"/>
          <w:sz w:val="24"/>
          <w:shd w:fill="auto" w:val="clear"/>
        </w:rPr>
        <w:t xml:space="preserve">Loan Loss Provisions</w:t>
      </w:r>
      <w:r>
        <w:rPr>
          <w:rFonts w:ascii="Times New Roman" w:hAnsi="Times New Roman" w:cs="Times New Roman" w:eastAsia="Times New Roman"/>
          <w:color w:val="000000"/>
          <w:spacing w:val="0"/>
          <w:position w:val="0"/>
          <w:sz w:val="24"/>
          <w:shd w:fill="auto" w:val="clear"/>
        </w:rPr>
        <w:t xml:space="preserve"> (r = 0.78, p = 0.005), </w:t>
      </w:r>
      <w:r>
        <w:rPr>
          <w:rFonts w:ascii="Times New Roman" w:hAnsi="Times New Roman" w:cs="Times New Roman" w:eastAsia="Times New Roman"/>
          <w:b/>
          <w:color w:val="000000"/>
          <w:spacing w:val="0"/>
          <w:position w:val="0"/>
          <w:sz w:val="24"/>
          <w:shd w:fill="auto" w:val="clear"/>
        </w:rPr>
        <w:t xml:space="preserve">Credit Risk Exposure</w:t>
      </w:r>
      <w:r>
        <w:rPr>
          <w:rFonts w:ascii="Times New Roman" w:hAnsi="Times New Roman" w:cs="Times New Roman" w:eastAsia="Times New Roman"/>
          <w:color w:val="000000"/>
          <w:spacing w:val="0"/>
          <w:position w:val="0"/>
          <w:sz w:val="24"/>
          <w:shd w:fill="auto" w:val="clear"/>
        </w:rPr>
        <w:t xml:space="preserve"> (r = 0.75, p = 0.006), and the </w:t>
      </w:r>
      <w:r>
        <w:rPr>
          <w:rFonts w:ascii="Times New Roman" w:hAnsi="Times New Roman" w:cs="Times New Roman" w:eastAsia="Times New Roman"/>
          <w:b/>
          <w:color w:val="000000"/>
          <w:spacing w:val="0"/>
          <w:position w:val="0"/>
          <w:sz w:val="24"/>
          <w:shd w:fill="auto" w:val="clear"/>
        </w:rPr>
        <w:t xml:space="preserve">Delinquency Rate</w:t>
      </w:r>
      <w:r>
        <w:rPr>
          <w:rFonts w:ascii="Times New Roman" w:hAnsi="Times New Roman" w:cs="Times New Roman" w:eastAsia="Times New Roman"/>
          <w:color w:val="000000"/>
          <w:spacing w:val="0"/>
          <w:position w:val="0"/>
          <w:sz w:val="24"/>
          <w:shd w:fill="auto" w:val="clear"/>
        </w:rPr>
        <w:t xml:space="preserve"> (r = 0.77, p = 0.003). These results indicate that the key indicators of credit risk are positively associated with the </w:t>
      </w:r>
      <w:r>
        <w:rPr>
          <w:rFonts w:ascii="Times New Roman" w:hAnsi="Times New Roman" w:cs="Times New Roman" w:eastAsia="Times New Roman"/>
          <w:b/>
          <w:color w:val="000000"/>
          <w:spacing w:val="0"/>
          <w:position w:val="0"/>
          <w:sz w:val="24"/>
          <w:shd w:fill="auto" w:val="clear"/>
        </w:rPr>
        <w:t xml:space="preserve">Portfolio at Risk</w:t>
      </w:r>
      <w:r>
        <w:rPr>
          <w:rFonts w:ascii="Times New Roman" w:hAnsi="Times New Roman" w:cs="Times New Roman" w:eastAsia="Times New Roman"/>
          <w:color w:val="000000"/>
          <w:spacing w:val="0"/>
          <w:position w:val="0"/>
          <w:sz w:val="24"/>
          <w:shd w:fill="auto" w:val="clear"/>
        </w:rPr>
        <w:t xml:space="preserve"> in the financial context.</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4.5.6 Regression Analysis</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explore the relationship between the identified independent variables</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Loan Default Rates, Credit Risk Exposure, Loan Loss Provisions, Asset Quality, Economic Downturns, Borrower Characteristics, Loan Product Characteristics, Market Conditions, and the Delinquency Rate</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and the dependent variable Portfolio at Risk (PaR), multiple linear regression was performed using the following model:</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w:t>
      </w:r>
      <w:r>
        <w:rPr>
          <w:rFonts w:ascii="Times New Roman" w:hAnsi="Times New Roman" w:cs="Times New Roman" w:eastAsia="Times New Roman"/>
          <w:color w:val="000000"/>
          <w:spacing w:val="0"/>
          <w:position w:val="0"/>
          <w:sz w:val="24"/>
          <w:shd w:fill="auto" w:val="clear"/>
        </w:rPr>
        <w:t xml:space="preserve">β0+β1X1+β2X2+β3X3+β4X4+β5X5+β6X6+β7X7+β8X8+β9X9+</w:t>
      </w:r>
      <w:r>
        <w:rPr>
          <w:rFonts w:ascii="Times New Roman" w:hAnsi="Times New Roman" w:cs="Times New Roman" w:eastAsia="Times New Roman"/>
          <w:color w:val="000000"/>
          <w:spacing w:val="0"/>
          <w:position w:val="0"/>
          <w:sz w:val="24"/>
          <w:shd w:fill="auto" w:val="clear"/>
        </w:rPr>
        <w:t xml:space="preserve">ϵ</w:t>
      </w:r>
    </w:p>
    <w:p>
      <w:pPr>
        <w:spacing w:before="0" w:after="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Where:</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 = Portfolio at Risk,</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X1​ = Loan Default Rates,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X2​ = Credit Risk Exposure,</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X3​ = Loan Loss Provisions,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X4​ = Asset Quality,</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X5​ = Economic Downturns,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X6​ = Borrower Characteristics,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X7​ = Loan Product Characteristics,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X8​ = Market Conditions,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X9​ = Delinquency Rate,</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β1, β2…, β9​ = coefficients of the independent variables,</w:t>
      </w:r>
    </w:p>
    <w:p>
      <w:pPr>
        <w:numPr>
          <w:ilvl w:val="0"/>
          <w:numId w:val="705"/>
        </w:numPr>
        <w:tabs>
          <w:tab w:val="left" w:pos="720" w:leader="none"/>
        </w:tabs>
        <w:spacing w:before="0" w:after="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ϵ</w:t>
      </w:r>
      <w:r>
        <w:rPr>
          <w:rFonts w:ascii="Times New Roman" w:hAnsi="Times New Roman" w:cs="Times New Roman" w:eastAsia="Times New Roman"/>
          <w:color w:val="000000"/>
          <w:spacing w:val="0"/>
          <w:position w:val="0"/>
          <w:sz w:val="24"/>
          <w:shd w:fill="auto" w:val="clear"/>
        </w:rPr>
        <w:t xml:space="preserve">\epsilon</w:t>
      </w:r>
      <w:r>
        <w:rPr>
          <w:rFonts w:ascii="Times New Roman" w:hAnsi="Times New Roman" w:cs="Times New Roman" w:eastAsia="Times New Roman"/>
          <w:color w:val="000000"/>
          <w:spacing w:val="0"/>
          <w:position w:val="0"/>
          <w:sz w:val="24"/>
          <w:shd w:fill="auto" w:val="clear"/>
        </w:rPr>
        <w:t xml:space="preserve">ϵ</w:t>
      </w:r>
      <w:r>
        <w:rPr>
          <w:rFonts w:ascii="Times New Roman" w:hAnsi="Times New Roman" w:cs="Times New Roman" w:eastAsia="Times New Roman"/>
          <w:color w:val="000000"/>
          <w:spacing w:val="0"/>
          <w:position w:val="0"/>
          <w:sz w:val="24"/>
          <w:shd w:fill="auto" w:val="clear"/>
        </w:rPr>
        <w:t xml:space="preserve"> = error term.</w:t>
      </w:r>
    </w:p>
    <w:p>
      <w:pPr>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Regression Diagnostics:</w:t>
      </w:r>
    </w:p>
    <w:p>
      <w:pPr>
        <w:spacing w:before="12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Tests for multicollinearity indicated that the independent variables used in the model were reliable (R² = 0.74, F = 36.50, p &lt; 0.001), confirming the validity of the measurement model and the overall fit (</w:t>
      </w:r>
      <w:r>
        <w:rPr>
          <w:rFonts w:ascii="Times New Roman" w:hAnsi="Times New Roman" w:cs="Times New Roman" w:eastAsia="Times New Roman"/>
          <w:color w:val="000000"/>
          <w:spacing w:val="0"/>
          <w:position w:val="0"/>
          <w:sz w:val="24"/>
          <w:shd w:fill="auto" w:val="clear"/>
        </w:rPr>
        <w:t xml:space="preserve">χ</w:t>
      </w:r>
      <w:r>
        <w:rPr>
          <w:rFonts w:ascii="Times New Roman" w:hAnsi="Times New Roman" w:cs="Times New Roman" w:eastAsia="Times New Roman"/>
          <w:color w:val="000000"/>
          <w:spacing w:val="0"/>
          <w:position w:val="0"/>
          <w:sz w:val="24"/>
          <w:shd w:fill="auto" w:val="clear"/>
        </w:rPr>
        <w:t xml:space="preserve">² = 12.80, p &lt; 0.001). This suggests that the regression model is </w:t>
      </w:r>
      <w:r>
        <w:rPr>
          <w:rFonts w:ascii="Times New Roman" w:hAnsi="Times New Roman" w:cs="Times New Roman" w:eastAsia="Times New Roman"/>
          <w:b/>
          <w:color w:val="000000"/>
          <w:spacing w:val="0"/>
          <w:position w:val="0"/>
          <w:sz w:val="24"/>
          <w:shd w:fill="auto" w:val="clear"/>
        </w:rPr>
        <w:t xml:space="preserve">significant.</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4.11: Regression Diagnostics Model Summary</w:t>
      </w:r>
    </w:p>
    <w:tbl>
      <w:tblPr/>
      <w:tblGrid>
        <w:gridCol w:w="1835"/>
        <w:gridCol w:w="932"/>
        <w:gridCol w:w="1170"/>
        <w:gridCol w:w="1620"/>
        <w:gridCol w:w="2880"/>
      </w:tblGrid>
      <w:tr>
        <w:trPr>
          <w:trHeight w:val="1" w:hRule="atLeast"/>
          <w:jc w:val="left"/>
        </w:trPr>
        <w:tc>
          <w:tcPr>
            <w:tcW w:w="1835"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Model Summary</w:t>
            </w:r>
          </w:p>
        </w:tc>
        <w:tc>
          <w:tcPr>
            <w:tcW w:w="932"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R</w:t>
            </w:r>
          </w:p>
        </w:tc>
        <w:tc>
          <w:tcPr>
            <w:tcW w:w="117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R²</w:t>
            </w:r>
          </w:p>
        </w:tc>
        <w:tc>
          <w:tcPr>
            <w:tcW w:w="162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Adjusted R²</w:t>
            </w:r>
          </w:p>
        </w:tc>
        <w:tc>
          <w:tcPr>
            <w:tcW w:w="288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Std. Error of Estimate</w:t>
            </w:r>
          </w:p>
        </w:tc>
      </w:tr>
      <w:tr>
        <w:trPr>
          <w:trHeight w:val="1" w:hRule="atLeast"/>
          <w:jc w:val="left"/>
        </w:trPr>
        <w:tc>
          <w:tcPr>
            <w:tcW w:w="1835"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rFonts w:ascii="Calibri" w:hAnsi="Calibri" w:cs="Calibri" w:eastAsia="Calibri"/>
                <w:color w:val="auto"/>
                <w:spacing w:val="0"/>
                <w:position w:val="0"/>
                <w:sz w:val="22"/>
                <w:shd w:fill="auto" w:val="clear"/>
              </w:rPr>
            </w:pPr>
          </w:p>
        </w:tc>
        <w:tc>
          <w:tcPr>
            <w:tcW w:w="932"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0.860</w:t>
            </w:r>
          </w:p>
        </w:tc>
        <w:tc>
          <w:tcPr>
            <w:tcW w:w="1170"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0.740</w:t>
            </w:r>
          </w:p>
        </w:tc>
        <w:tc>
          <w:tcPr>
            <w:tcW w:w="1620"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0.720</w:t>
            </w:r>
          </w:p>
        </w:tc>
        <w:tc>
          <w:tcPr>
            <w:tcW w:w="2880" w:type="dxa"/>
            <w:tcBorders>
              <w:top w:val="single" w:color="000000" w:sz="4"/>
              <w:left w:val="single" w:color="000000" w:sz="0"/>
              <w:bottom w:val="single" w:color="000000" w:sz="4"/>
              <w:right w:val="single" w:color="000000" w:sz="0"/>
            </w:tcBorders>
            <w:shd w:color="000000" w:fill="ffffff" w:val="clear"/>
            <w:tcMar>
              <w:left w:w="108" w:type="dxa"/>
              <w:right w:w="108" w:type="dxa"/>
            </w:tcMar>
            <w:vAlign w:val="top"/>
          </w:tcPr>
          <w:p>
            <w:pPr>
              <w:spacing w:before="0" w:after="0" w:line="36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2.764</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model summary demonstrates a robust relationship between the independent variables and </w:t>
      </w:r>
      <w:r>
        <w:rPr>
          <w:rFonts w:ascii="Times New Roman" w:hAnsi="Times New Roman" w:cs="Times New Roman" w:eastAsia="Times New Roman"/>
          <w:b/>
          <w:color w:val="000000"/>
          <w:spacing w:val="0"/>
          <w:position w:val="0"/>
          <w:sz w:val="24"/>
          <w:shd w:fill="auto" w:val="clear"/>
        </w:rPr>
        <w:t xml:space="preserve">Portfolio at Risk</w:t>
      </w:r>
      <w:r>
        <w:rPr>
          <w:rFonts w:ascii="Times New Roman" w:hAnsi="Times New Roman" w:cs="Times New Roman" w:eastAsia="Times New Roman"/>
          <w:color w:val="000000"/>
          <w:spacing w:val="0"/>
          <w:position w:val="0"/>
          <w:sz w:val="24"/>
          <w:shd w:fill="auto" w:val="clear"/>
        </w:rPr>
        <w:t xml:space="preserve"> (R = 0.860). The R² value of 0.740 indicates that 74% of the variance in </w:t>
      </w:r>
      <w:r>
        <w:rPr>
          <w:rFonts w:ascii="Times New Roman" w:hAnsi="Times New Roman" w:cs="Times New Roman" w:eastAsia="Times New Roman"/>
          <w:b/>
          <w:color w:val="000000"/>
          <w:spacing w:val="0"/>
          <w:position w:val="0"/>
          <w:sz w:val="24"/>
          <w:shd w:fill="auto" w:val="clear"/>
        </w:rPr>
        <w:t xml:space="preserve">Portfolio at Risk</w:t>
      </w:r>
      <w:r>
        <w:rPr>
          <w:rFonts w:ascii="Times New Roman" w:hAnsi="Times New Roman" w:cs="Times New Roman" w:eastAsia="Times New Roman"/>
          <w:color w:val="000000"/>
          <w:spacing w:val="0"/>
          <w:position w:val="0"/>
          <w:sz w:val="24"/>
          <w:shd w:fill="auto" w:val="clear"/>
        </w:rPr>
        <w:t xml:space="preserve"> is explained by these factors. The remaining 26% can be attributed to other variables not included in the model.</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4.12: ANOVA Results</w:t>
      </w:r>
    </w:p>
    <w:tbl>
      <w:tblPr/>
      <w:tblGrid>
        <w:gridCol w:w="1283"/>
        <w:gridCol w:w="1830"/>
        <w:gridCol w:w="456"/>
        <w:gridCol w:w="1596"/>
        <w:gridCol w:w="756"/>
        <w:gridCol w:w="2714"/>
      </w:tblGrid>
      <w:tr>
        <w:trPr>
          <w:trHeight w:val="1" w:hRule="atLeast"/>
          <w:jc w:val="left"/>
        </w:trPr>
        <w:tc>
          <w:tcPr>
            <w:tcW w:w="1283"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Model</w:t>
            </w:r>
          </w:p>
        </w:tc>
        <w:tc>
          <w:tcPr>
            <w:tcW w:w="1830"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Sum of Squares</w:t>
            </w:r>
          </w:p>
        </w:tc>
        <w:tc>
          <w:tcPr>
            <w:tcW w:w="456"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df</w:t>
            </w:r>
          </w:p>
        </w:tc>
        <w:tc>
          <w:tcPr>
            <w:tcW w:w="1596"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Mean Square</w:t>
            </w:r>
          </w:p>
        </w:tc>
        <w:tc>
          <w:tcPr>
            <w:tcW w:w="756"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F</w:t>
            </w:r>
          </w:p>
        </w:tc>
        <w:tc>
          <w:tcPr>
            <w:tcW w:w="2714" w:type="dxa"/>
            <w:tcBorders>
              <w:top w:val="single" w:color="000000" w:sz="4"/>
              <w:left w:val="single" w:color="000000" w:sz="0"/>
              <w:bottom w:val="single" w:color="000000" w:sz="4"/>
              <w:right w:val="single" w:color="000000" w:sz="0"/>
            </w:tcBorders>
            <w:shd w:color="auto" w:fill="d9e2f3"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b/>
                <w:color w:val="000000"/>
                <w:spacing w:val="0"/>
                <w:position w:val="0"/>
                <w:sz w:val="24"/>
                <w:shd w:fill="auto" w:val="clear"/>
              </w:rPr>
              <w:t xml:space="preserve">Sig.</w:t>
            </w:r>
          </w:p>
        </w:tc>
      </w:tr>
      <w:tr>
        <w:trPr>
          <w:trHeight w:val="1" w:hRule="atLeast"/>
          <w:jc w:val="left"/>
        </w:trPr>
        <w:tc>
          <w:tcPr>
            <w:tcW w:w="1283"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Regression</w:t>
            </w:r>
          </w:p>
        </w:tc>
        <w:tc>
          <w:tcPr>
            <w:tcW w:w="18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1.500</w:t>
            </w:r>
          </w:p>
        </w:tc>
        <w:tc>
          <w:tcPr>
            <w:tcW w:w="456"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7</w:t>
            </w:r>
          </w:p>
        </w:tc>
        <w:tc>
          <w:tcPr>
            <w:tcW w:w="1596"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0.214</w:t>
            </w:r>
          </w:p>
        </w:tc>
        <w:tc>
          <w:tcPr>
            <w:tcW w:w="756"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36.50</w:t>
            </w:r>
          </w:p>
        </w:tc>
        <w:tc>
          <w:tcPr>
            <w:tcW w:w="2714"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0.0001</w:t>
            </w:r>
          </w:p>
        </w:tc>
      </w:tr>
      <w:tr>
        <w:trPr>
          <w:trHeight w:val="1" w:hRule="atLeast"/>
          <w:jc w:val="left"/>
        </w:trPr>
        <w:tc>
          <w:tcPr>
            <w:tcW w:w="128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Residual</w:t>
            </w:r>
          </w:p>
        </w:tc>
        <w:tc>
          <w:tcPr>
            <w:tcW w:w="18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0.404</w:t>
            </w:r>
          </w:p>
        </w:tc>
        <w:tc>
          <w:tcPr>
            <w:tcW w:w="45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92</w:t>
            </w:r>
          </w:p>
        </w:tc>
        <w:tc>
          <w:tcPr>
            <w:tcW w:w="159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0.004</w:t>
            </w:r>
          </w:p>
        </w:tc>
        <w:tc>
          <w:tcPr>
            <w:tcW w:w="756"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14"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r>
        <w:trPr>
          <w:trHeight w:val="1" w:hRule="atLeast"/>
          <w:jc w:val="left"/>
        </w:trPr>
        <w:tc>
          <w:tcPr>
            <w:tcW w:w="1283"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Total</w:t>
            </w:r>
          </w:p>
        </w:tc>
        <w:tc>
          <w:tcPr>
            <w:tcW w:w="18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1.904</w:t>
            </w:r>
          </w:p>
        </w:tc>
        <w:tc>
          <w:tcPr>
            <w:tcW w:w="456"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4"/>
                <w:shd w:fill="auto" w:val="clear"/>
              </w:rPr>
              <w:t xml:space="preserve">99</w:t>
            </w:r>
          </w:p>
        </w:tc>
        <w:tc>
          <w:tcPr>
            <w:tcW w:w="1596"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756"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c>
          <w:tcPr>
            <w:tcW w:w="2714"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0" w:line="240"/>
              <w:ind w:right="0" w:left="0" w:firstLine="0"/>
              <w:jc w:val="both"/>
              <w:rPr>
                <w:rFonts w:ascii="Calibri" w:hAnsi="Calibri" w:cs="Calibri" w:eastAsia="Calibri"/>
                <w:color w:val="auto"/>
                <w:spacing w:val="0"/>
                <w:position w:val="0"/>
                <w:sz w:val="22"/>
                <w:shd w:fill="auto" w:val="clear"/>
              </w:rPr>
            </w:pP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ANOVA results indicate that the model is significant (F = 36.50, p &lt; 0.001), suggesting that the independent variables significantly affect </w:t>
      </w:r>
      <w:r>
        <w:rPr>
          <w:rFonts w:ascii="Times New Roman" w:hAnsi="Times New Roman" w:cs="Times New Roman" w:eastAsia="Times New Roman"/>
          <w:b/>
          <w:color w:val="000000"/>
          <w:spacing w:val="0"/>
          <w:position w:val="0"/>
          <w:sz w:val="24"/>
          <w:shd w:fill="auto" w:val="clear"/>
        </w:rPr>
        <w:t xml:space="preserve">Portfolio at Risk (PaR)</w:t>
      </w:r>
      <w:r>
        <w:rPr>
          <w:rFonts w:ascii="Times New Roman" w:hAnsi="Times New Roman" w:cs="Times New Roman" w:eastAsia="Times New Roman"/>
          <w:color w:val="000000"/>
          <w:spacing w:val="0"/>
          <w:position w:val="0"/>
          <w:sz w:val="24"/>
          <w:shd w:fill="auto" w:val="clear"/>
        </w:rPr>
        <w:t xml:space="preserve">.</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4.5.7 Regression Analysis Results</w:t>
      </w:r>
    </w:p>
    <w:p>
      <w:pPr>
        <w:keepNext w:val="true"/>
        <w:keepLines w:val="true"/>
        <w:widowControl w:val="false"/>
        <w:spacing w:before="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Table 4.13: Multiple Regression Analysis Parameter Estimation Results</w:t>
      </w:r>
    </w:p>
    <w:tbl>
      <w:tblPr/>
      <w:tblGrid>
        <w:gridCol w:w="2538"/>
        <w:gridCol w:w="733"/>
        <w:gridCol w:w="1005"/>
        <w:gridCol w:w="1142"/>
        <w:gridCol w:w="1170"/>
        <w:gridCol w:w="1530"/>
      </w:tblGrid>
      <w:tr>
        <w:trPr>
          <w:trHeight w:val="1" w:hRule="atLeast"/>
          <w:jc w:val="left"/>
        </w:trPr>
        <w:tc>
          <w:tcPr>
            <w:tcW w:w="2538"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Variable</w:t>
            </w:r>
          </w:p>
        </w:tc>
        <w:tc>
          <w:tcPr>
            <w:tcW w:w="733"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w:t>
            </w:r>
          </w:p>
        </w:tc>
        <w:tc>
          <w:tcPr>
            <w:tcW w:w="1005"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Std. Error</w:t>
            </w:r>
          </w:p>
        </w:tc>
        <w:tc>
          <w:tcPr>
            <w:tcW w:w="1142"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Beta</w:t>
            </w:r>
          </w:p>
        </w:tc>
        <w:tc>
          <w:tcPr>
            <w:tcW w:w="1170"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t</w:t>
            </w:r>
          </w:p>
        </w:tc>
        <w:tc>
          <w:tcPr>
            <w:tcW w:w="1530" w:type="dxa"/>
            <w:tcBorders>
              <w:top w:val="single" w:color="000000" w:sz="4"/>
              <w:left w:val="single" w:color="000000" w:sz="0"/>
              <w:bottom w:val="single" w:color="000000" w:sz="4"/>
              <w:right w:val="single" w:color="000000" w:sz="0"/>
            </w:tcBorders>
            <w:shd w:color="auto" w:fill="dbe5f1"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Sig.</w:t>
            </w:r>
          </w:p>
        </w:tc>
      </w:tr>
      <w:tr>
        <w:trPr>
          <w:trHeight w:val="1" w:hRule="atLeast"/>
          <w:jc w:val="left"/>
        </w:trPr>
        <w:tc>
          <w:tcPr>
            <w:tcW w:w="2538"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(Constant)</w:t>
            </w:r>
          </w:p>
        </w:tc>
        <w:tc>
          <w:tcPr>
            <w:tcW w:w="733"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0.762</w:t>
            </w:r>
          </w:p>
        </w:tc>
        <w:tc>
          <w:tcPr>
            <w:tcW w:w="1005"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0.076</w:t>
            </w:r>
          </w:p>
        </w:tc>
        <w:tc>
          <w:tcPr>
            <w:tcW w:w="1142"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rFonts w:ascii="Calibri" w:hAnsi="Calibri" w:cs="Calibri" w:eastAsia="Calibri"/>
                <w:color w:val="auto"/>
                <w:spacing w:val="0"/>
                <w:position w:val="0"/>
                <w:sz w:val="22"/>
                <w:shd w:fill="auto" w:val="clear"/>
              </w:rPr>
            </w:pPr>
          </w:p>
        </w:tc>
        <w:tc>
          <w:tcPr>
            <w:tcW w:w="117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10.02</w:t>
            </w:r>
          </w:p>
        </w:tc>
        <w:tc>
          <w:tcPr>
            <w:tcW w:w="1530" w:type="dxa"/>
            <w:tcBorders>
              <w:top w:val="single" w:color="000000" w:sz="4"/>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0.000</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Default Rates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0.412</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0.105</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0.320</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3.91</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0.000</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Credit Risk Exposure</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0.305</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0.090</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0.250</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3.39</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0.001</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Loss Provisions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0.325</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0.078</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0.272</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4.17</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0.000</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Asset Quality</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-0.220</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0.082</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-0.180</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-2.68</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0.008</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Economic Downturns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0.187</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0.071</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0.154</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2.64</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0.010</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Borrower Characteristics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-0.110</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0.068</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-0.085</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-1.62</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0.107</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Loan Product Characteristics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0.226</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0.075</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0.195</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3.01</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0.003</w:t>
            </w:r>
          </w:p>
        </w:tc>
      </w:tr>
      <w:tr>
        <w:trPr>
          <w:trHeight w:val="1" w:hRule="atLeast"/>
          <w:jc w:val="left"/>
        </w:trPr>
        <w:tc>
          <w:tcPr>
            <w:tcW w:w="2538"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Market Conditions</w:t>
            </w:r>
          </w:p>
        </w:tc>
        <w:tc>
          <w:tcPr>
            <w:tcW w:w="733"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0.160</w:t>
            </w:r>
          </w:p>
        </w:tc>
        <w:tc>
          <w:tcPr>
            <w:tcW w:w="1005"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0.066</w:t>
            </w:r>
          </w:p>
        </w:tc>
        <w:tc>
          <w:tcPr>
            <w:tcW w:w="1142"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0.140</w:t>
            </w:r>
          </w:p>
        </w:tc>
        <w:tc>
          <w:tcPr>
            <w:tcW w:w="117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2.43</w:t>
            </w:r>
          </w:p>
        </w:tc>
        <w:tc>
          <w:tcPr>
            <w:tcW w:w="1530" w:type="dxa"/>
            <w:tcBorders>
              <w:top w:val="single" w:color="000000" w:sz="0"/>
              <w:left w:val="single" w:color="000000" w:sz="0"/>
              <w:bottom w:val="single" w:color="000000" w:sz="0"/>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0.016</w:t>
            </w:r>
          </w:p>
        </w:tc>
      </w:tr>
      <w:tr>
        <w:trPr>
          <w:trHeight w:val="1" w:hRule="atLeast"/>
          <w:jc w:val="left"/>
        </w:trPr>
        <w:tc>
          <w:tcPr>
            <w:tcW w:w="2538"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both"/>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Delinquency Rate</w:t>
            </w:r>
          </w:p>
        </w:tc>
        <w:tc>
          <w:tcPr>
            <w:tcW w:w="733"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0.307</w:t>
            </w:r>
          </w:p>
        </w:tc>
        <w:tc>
          <w:tcPr>
            <w:tcW w:w="1005"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0.073</w:t>
            </w:r>
          </w:p>
        </w:tc>
        <w:tc>
          <w:tcPr>
            <w:tcW w:w="1142"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0.250</w:t>
            </w:r>
          </w:p>
        </w:tc>
        <w:tc>
          <w:tcPr>
            <w:tcW w:w="117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4.20</w:t>
            </w:r>
          </w:p>
        </w:tc>
        <w:tc>
          <w:tcPr>
            <w:tcW w:w="1530" w:type="dxa"/>
            <w:tcBorders>
              <w:top w:val="single" w:color="000000" w:sz="0"/>
              <w:left w:val="single" w:color="000000" w:sz="0"/>
              <w:bottom w:val="single" w:color="000000" w:sz="4"/>
              <w:right w:val="single" w:color="000000" w:sz="0"/>
            </w:tcBorders>
            <w:shd w:color="000000" w:fill="ffffff" w:val="clear"/>
            <w:tcMar>
              <w:left w:w="108" w:type="dxa"/>
              <w:right w:w="108" w:type="dxa"/>
            </w:tcMar>
            <w:vAlign w:val="top"/>
          </w:tcPr>
          <w:p>
            <w:pPr>
              <w:spacing w:before="0" w:after="160" w:line="240"/>
              <w:ind w:right="0" w:left="0" w:firstLine="0"/>
              <w:jc w:val="center"/>
              <w:rPr>
                <w:spacing w:val="0"/>
                <w:position w:val="0"/>
                <w:shd w:fill="auto" w:val="clear"/>
              </w:rPr>
            </w:pPr>
            <w:r>
              <w:rPr>
                <w:rFonts w:ascii="Times New Roman" w:hAnsi="Times New Roman" w:cs="Times New Roman" w:eastAsia="Times New Roman"/>
                <w:color w:val="000000"/>
                <w:spacing w:val="0"/>
                <w:position w:val="0"/>
                <w:sz w:val="20"/>
                <w:shd w:fill="auto" w:val="clear"/>
              </w:rPr>
              <w:t xml:space="preserve">0.000</w:t>
            </w:r>
          </w:p>
        </w:tc>
      </w:tr>
    </w:tbl>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Table 4.13 presents the results of the multiple regression analysis, which estimates the parameters for various predictors of Portfolio at Risk. The coefficients, standard errors, beta values, t-values, and significance levels are provided for each predictor. The results indicate that Loan Default Rates (B = 0.412, p = 0.000), Credit Risk Exposure (B = 0.305, p = 0.001), and Loan Loss Provisions (B = 0.325, p = 0.000) are significant predictors of Portfolio at Risk, with positive coefficients. This suggests that higher loan default rates, increased credit risk exposure, and greater loan loss provisions all contribute to an increase in the Portfolio at Risk, implying that poor management of defaults, greater risk in lending, and larger provisions signal a higher likelihood of loans entering arrears.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Conversely, Asset Quality (B = -0.220, p = 0.008) is inversely related to Portfolio at Risk, meaning that lower asset quality increases the risk, as poor asset management and more non-performing loans elevate portfolio risk. Economic Downturns (B = 0.187, p = 0.010) also increase Portfolio at Risk, reflecting how financial strain during recessions can escalate loan defaults. Borrower Characteristics (B = -0.110, p = 0.107) do not significantly affect Portfolio at Risk, suggesting that factors other than borrower characteristics are more influential in determining portfolio risk.</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Loan Product Characteristics (B = 0.226, p = 0.003) have a positive impact, indicating that riskier loan products can contribute to more loans in arrears, thus increasing the portfolio risk. Market Conditions (B = 0.160, p = 0.016) also increase Portfolio at Risk, suggesting that unfavorable external conditions, such as economic challenges, raise loan risks. Finally, Delinquency Rate (B = 0.307, p = 0.000) strongly increases Portfolio at Risk, demonstrating that a higher number of overdue loans significantly raises the overall risk to the portfolio. These findings highlight the complex relationship between various factors and the risk associated with loan portfolios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keepNext w:val="true"/>
        <w:keepLines w:val="true"/>
        <w:spacing w:before="240" w:after="0" w:line="360"/>
        <w:ind w:right="0" w:left="0" w:firstLine="0"/>
        <w:jc w:val="center"/>
        <w:rPr>
          <w:rFonts w:ascii="Times New Roman" w:hAnsi="Times New Roman" w:cs="Times New Roman" w:eastAsia="Times New Roman"/>
          <w:b/>
          <w:color w:val="000000"/>
          <w:spacing w:val="0"/>
          <w:position w:val="0"/>
          <w:sz w:val="24"/>
          <w:shd w:fill="auto" w:val="clear"/>
        </w:rPr>
      </w:pPr>
    </w:p>
    <w:p>
      <w:pPr>
        <w:keepNext w:val="true"/>
        <w:keepLines w:val="true"/>
        <w:spacing w:before="240" w:after="0" w:line="360"/>
        <w:ind w:right="0" w:left="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CHAPTER FIVE</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SUMMARY OF FINDINGS, CONCLUSIONS, AND RECOMMENDATIONS</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5.1 Introduction</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This chapter provides a comprehensive summary of the key findings, conclusions, and recommendations derived from the study on factors affecting Portfolio at Risk (PAR) in financial institutions, with an emphasis on the financial stability implications and central bank interventions. The chapter is structured around the study's objectives and identifies areas for future research based on the findings.</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5.2 Summary of Findings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are organized according to the study's objectives as outlined in Chapter Four. The main goal of this study was to evaluate factors influencing Portfolio at Risk in financial institutions, assess the impact of PAR on financial stability, and explore the role of central bank interventions in managing this relationship. The study utilized a descriptive research design, collecting quantitative and qualitative data from key stakeholders in financial institutions. Statistical analysis, both descriptive and inferential, was employed to examine the factors contributing to PAR, assess its effects on stability, and evaluate the influence of regulatory interventions. Key findings are summarized as follows:</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5.2.1 Factors Contributing to Portfolio at Risk in Financial Institutions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study identified several key factors that significantly impact Portfolio at Risk (PAR) in financial institutions. Loan default rates were noted as a primary factor, with over 70% of respondents indicating that high default rates increase the institution's risk exposure. Credit risk exposure was also a critical factor, affecting PAR through high-risk lending practices and inadequate risk assessment procedures. Economic downturns were highlighted by 65% of respondents as a factor that exacerbates PAR, particularly due to the challenges they present in loan recovery and repayment. Additionally, borrower characteristics</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such as credit history and debt-to-income ratios were identified as influencing PAR, with 58% of respondents noting their relevance in risk assessments.</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5.2.2 Effect of Portfolio at Risk on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The findings revealed a clear link between high levels of Portfolio at Risk and decreased financial stability within institutions. When PAR exceeds manageable levels, institutions face liquidity constraints that limit their capacity to extend new credit, impeding their growth and operational efficiency. This was confirmed by 68% of participants, who observed that high PAR correlates with increased provisioning requirements, placing a financial strain on institutions. Furthermore, 62% indicated that elevated PAR can lead to reputational risks, as financial institutions with high-risk exposure may lose investor and client confidence, thus impacting long-term stability. These findings underscore the importance of managing PAR effectively to sustain the financial health and resilience of institutions.</w:t>
      </w:r>
    </w:p>
    <w:p>
      <w:pPr>
        <w:keepNext w:val="true"/>
        <w:keepLines w:val="true"/>
        <w:spacing w:before="40" w:after="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5.2.3 Role of Central Bank Interventions in Moderating Portfolio at Risk and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Central bank interventions, such as regulatory guidelines, liquidity support, and risk management mandates, were found to play a significant role in moderating the relationship between Portfolio at Risk and financial stability. Approximately 70% of respondents indicated that regulatory capital requirements enforced by central banks help institutions maintain sufficient capital buffers to absorb potential losses associated with high PAR. Additionally, central bank supervision and monitoring were identified by 65% of respondents as essential in promoting sound risk management practices, reducing the likelihood of excessive risk exposure. However, 55% of participants noted that additional support, such as temporary liquidity provisions during economic downturns, could further assist institutions in maintaining stability amid fluctuating PAR levels.</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5.3 Conclusion of the Study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conclusion, the study highlights that Portfolio at Risk in financial institutions is influenced by several factors, including loan default rates, economic conditions, and borrower characteristics. High PAR levels present considerable challenges to financial stability, as they constrain liquidity, increase provisioning needs, and elevate reputational risk. The study also establishes the moderating role of central bank interventions, which serve to strengthen risk management practices and mitigate the negative impact of PAR on institutional stability. Addressing these factors effectively is essential for financial institutions aiming to maintain both short-term operational health and long-term resilience.</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5.4 Recommendations for The Interventions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Recommendations for Financial Institutions</w:t>
      </w:r>
      <w:r>
        <w:rPr>
          <w:rFonts w:ascii="Times New Roman" w:hAnsi="Times New Roman" w:cs="Times New Roman" w:eastAsia="Times New Roman"/>
          <w:color w:val="000000"/>
          <w:spacing w:val="0"/>
          <w:position w:val="0"/>
          <w:sz w:val="24"/>
          <w:shd w:fill="auto" w:val="clear"/>
        </w:rPr>
        <w:t xml:space="preserve">: Financial institutions should enhance their risk assessment frameworks to evaluate borrower profiles comprehensively, thereby reducing default risks and improving portfolio quality. Additionally, implementing advanced loan monitoring systems is essential to enable real-time tracking of loan performance, which can facilitate early detection of potential risks and help maintain manageable Portfolio at Risk (PAR) levels. Institutions are also advised to build sufficient capital buffers in line with central bank requirements, ensuring they can absorb losses during economic downturns and maintain stability in adverse conditions. Moreover, ongoing training and professional development for staff will strengthen institutional risk management capabilities, equipping them with the necessary skills to manage risks proactively and mitigate impacts on financial stability.</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Recommendations for Central Bank Interventions</w:t>
      </w:r>
      <w:r>
        <w:rPr>
          <w:rFonts w:ascii="Times New Roman" w:hAnsi="Times New Roman" w:cs="Times New Roman" w:eastAsia="Times New Roman"/>
          <w:color w:val="000000"/>
          <w:spacing w:val="0"/>
          <w:position w:val="0"/>
          <w:sz w:val="24"/>
          <w:shd w:fill="auto" w:val="clear"/>
        </w:rPr>
        <w:t xml:space="preserve">: Central banks play a critical role in supporting financial stability, especially in managing PAR. It is recommended that central banks continue to enforce regulatory capital requirements, as these help institutions maintain the resilience needed to handle potential credit losses. Furthermore, central banks should consider offering additional liquidity support during economic downturns, easing financial pressures on institutions with high PAR levels and promoting stability across the sector. Central banks could also explore further risk management mandates and guidelines to ensure that institutions uphold sound risk practices, particularly during periods of economic uncertainty.</w:t>
      </w:r>
    </w:p>
    <w:p>
      <w:pPr>
        <w:keepNext w:val="true"/>
        <w:keepLines w:val="true"/>
        <w:spacing w:before="40" w:after="160" w:line="360"/>
        <w:ind w:right="0" w:left="0" w:firstLine="0"/>
        <w:jc w:val="left"/>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5.5 Recommendations for Further Studies</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Future research could delve deeper into understanding specific factors that influence Portfolio at Risk (PAR) across different types of financial institutions, such as commercial banks, microfinance institutions, and credit unions, as risk dynamics may vary significantly across these entities. Additionally, studies could explore the long-term effects of central bank interventions on financial stability in contexts with high PAR levels to assess the effectiveness and potential areas for improvement in regulatory strategies. Further research might also consider the impact of external economic shocks, such as global recessions or pandemics, on PAR and the resilience of financial institutions, providing valuable insights into how these organizations can better prepare for and mitigate such risks. These studies could significantly contribute to strengthening risk management frameworks and regulatory policies, fostering greater financial stability within the sector.</w:t>
      </w: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12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REFERENCES</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Abdul Rahman A. (2009). Lending Structure and Market Risk Exposures: The Malaysian Case. Department of Business Administration, Universiti Kebangsaan Malaysia, 43600 UKM Bangi, Selangor, Malaysia. Asian Academy of Management Journal, 14(2), 1</w:t>
      </w:r>
      <w:r>
        <w:rPr>
          <w:rFonts w:ascii="Times New Roman" w:hAnsi="Times New Roman" w:cs="Times New Roman" w:eastAsia="Times New Roman"/>
          <w:color w:val="00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20.</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Abusharbeh M.T. (2023). Modeling the factors of portfolio at risk for microfinance institutions in Palestine. Financial Economics Research Article; Department of finance, Arab American University, Jenin, Palestine.</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Agbloyor, E. K., Abor, J. Y., &amp; Tetteh, R. (2022). Microfinance Institutions in Africa: Sustainability, Growth, and Impact. International Journal of Development Issues, 21(2), 145-166. </w:t>
      </w:r>
      <w:hyperlink xmlns:r="http://schemas.openxmlformats.org/officeDocument/2006/relationships" r:id="docRId0">
        <w:r>
          <w:rPr>
            <w:rFonts w:ascii="Times New Roman" w:hAnsi="Times New Roman" w:cs="Times New Roman" w:eastAsia="Times New Roman"/>
            <w:color w:val="000000"/>
            <w:spacing w:val="0"/>
            <w:position w:val="0"/>
            <w:sz w:val="24"/>
            <w:u w:val="single"/>
            <w:shd w:fill="auto" w:val="clear"/>
          </w:rPr>
          <w:t xml:space="preserve">https://doi.org/10.1108/IJDI-04-2021-0074</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Akang F.K., Sha'ven W.B., &amp; Tauringana V. (2020). An empirical investigation into the risk management strategies of MFIs in Cameroon. </w:t>
      </w:r>
      <w:hyperlink xmlns:r="http://schemas.openxmlformats.org/officeDocument/2006/relationships" r:id="docRId1">
        <w:r>
          <w:rPr>
            <w:rFonts w:ascii="Times New Roman" w:hAnsi="Times New Roman" w:cs="Times New Roman" w:eastAsia="Times New Roman"/>
            <w:color w:val="000000"/>
            <w:spacing w:val="0"/>
            <w:position w:val="0"/>
            <w:sz w:val="24"/>
            <w:u w:val="single"/>
            <w:shd w:fill="auto" w:val="clear"/>
          </w:rPr>
          <w:t xml:space="preserve">https://www.researchgate.net/publication/347600326</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Al-Tamimi H.A. (2010). Factors Influencing Performance of the UAE Islamic and Conventional National Banks. University of Sharjah. </w:t>
      </w:r>
      <w:hyperlink xmlns:r="http://schemas.openxmlformats.org/officeDocument/2006/relationships" r:id="docRId2">
        <w:r>
          <w:rPr>
            <w:rFonts w:ascii="Times New Roman" w:hAnsi="Times New Roman" w:cs="Times New Roman" w:eastAsia="Times New Roman"/>
            <w:color w:val="000000"/>
            <w:spacing w:val="0"/>
            <w:position w:val="0"/>
            <w:sz w:val="24"/>
            <w:u w:val="single"/>
            <w:shd w:fill="auto" w:val="clear"/>
          </w:rPr>
          <w:t xml:space="preserve">https://www.researchgate.net/publication/228201551</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Arnold, T. (2023). The Impact of Bank Portfolio Similarity on Systemic Risk: Evidence from U.S. Global Systemically Important Banks. Journal of Financial Stability, 60, 100-120. </w:t>
      </w:r>
      <w:hyperlink xmlns:r="http://schemas.openxmlformats.org/officeDocument/2006/relationships" r:id="docRId3">
        <w:r>
          <w:rPr>
            <w:rFonts w:ascii="Times New Roman" w:hAnsi="Times New Roman" w:cs="Times New Roman" w:eastAsia="Times New Roman"/>
            <w:color w:val="000000"/>
            <w:spacing w:val="0"/>
            <w:position w:val="0"/>
            <w:sz w:val="24"/>
            <w:u w:val="single"/>
            <w:shd w:fill="auto" w:val="clear"/>
          </w:rPr>
          <w:t xml:space="preserve">https://doi.org/10.1016/j.jfs.2023.100120</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Barros, C. P., Ferreira, C. S., &amp; Teixeira, A. A. (2021). Portfolio at risk in Brazilian banks: An empirical analysis. Journal of Financial Services Research, 59(3), 235-259. </w:t>
      </w:r>
      <w:hyperlink xmlns:r="http://schemas.openxmlformats.org/officeDocument/2006/relationships" r:id="docRId4">
        <w:r>
          <w:rPr>
            <w:rFonts w:ascii="Times New Roman" w:hAnsi="Times New Roman" w:cs="Times New Roman" w:eastAsia="Times New Roman"/>
            <w:color w:val="000000"/>
            <w:spacing w:val="0"/>
            <w:position w:val="0"/>
            <w:sz w:val="24"/>
            <w:u w:val="single"/>
            <w:shd w:fill="auto" w:val="clear"/>
          </w:rPr>
          <w:t xml:space="preserve">https://doi.org/10.1007/s10693-020-00325-3</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Beck, T., Chen, T., &amp; Song, L. (2021). Financial stability and portfolio risk: A systematic scoping review. World Bank Research Observer, 36(1), 45-78. </w:t>
      </w:r>
      <w:hyperlink xmlns:r="http://schemas.openxmlformats.org/officeDocument/2006/relationships" r:id="docRId5">
        <w:r>
          <w:rPr>
            <w:rFonts w:ascii="Times New Roman" w:hAnsi="Times New Roman" w:cs="Times New Roman" w:eastAsia="Times New Roman"/>
            <w:color w:val="000000"/>
            <w:spacing w:val="0"/>
            <w:position w:val="0"/>
            <w:sz w:val="24"/>
            <w:u w:val="single"/>
            <w:shd w:fill="auto" w:val="clear"/>
          </w:rPr>
          <w:t xml:space="preserve">https://doi.org/10.1093/wbro/lkaa007</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Danga, A., &amp; Mashala, J. (2019). Factors Affecting the Growth of Microfinance Institutions in Tanzania: A Case Study of Singida District. Tanzania Journal of Development Studies, 19(1), 15-28.</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Danga M. &amp; Mashala L. Y (2019). Factors Affecting the Growth of Microfinance Institutions in Tanzania: A Case Study SACCOS in Singida Region International Journal of Academic Multidisciplinary Research (IJAMR) ISSN: 2000-006X, 3(3). </w:t>
      </w:r>
      <w:hyperlink xmlns:r="http://schemas.openxmlformats.org/officeDocument/2006/relationships" r:id="docRId6">
        <w:r>
          <w:rPr>
            <w:rFonts w:ascii="Times New Roman" w:hAnsi="Times New Roman" w:cs="Times New Roman" w:eastAsia="Times New Roman"/>
            <w:color w:val="000000"/>
            <w:spacing w:val="0"/>
            <w:position w:val="0"/>
            <w:sz w:val="24"/>
            <w:u w:val="single"/>
            <w:shd w:fill="auto" w:val="clear"/>
          </w:rPr>
          <w:t xml:space="preserve">www.ijeais.org/ijamr</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Dinger, J., &amp; Weyman-Jones, T. (2018). Capital adequacy, loan growth, and portfolio at risk in European banks. European Journal of Finance, 24(1), 42-62. </w:t>
      </w:r>
      <w:hyperlink xmlns:r="http://schemas.openxmlformats.org/officeDocument/2006/relationships" r:id="docRId7">
        <w:r>
          <w:rPr>
            <w:rFonts w:ascii="Times New Roman" w:hAnsi="Times New Roman" w:cs="Times New Roman" w:eastAsia="Times New Roman"/>
            <w:color w:val="000000"/>
            <w:spacing w:val="0"/>
            <w:position w:val="0"/>
            <w:sz w:val="24"/>
            <w:u w:val="single"/>
            <w:shd w:fill="auto" w:val="clear"/>
          </w:rPr>
          <w:t xml:space="preserve">https://doi.org/10.1080/1351847X.2016.1152335</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Fiori, G., &amp; Porro, G. (2023). Systemic Risk in European Financial Institutions: A Compositional Analysis. Journal of Financial Services Research, 63(1), 1-24. </w:t>
      </w:r>
      <w:hyperlink xmlns:r="http://schemas.openxmlformats.org/officeDocument/2006/relationships" r:id="docRId8">
        <w:r>
          <w:rPr>
            <w:rFonts w:ascii="Times New Roman" w:hAnsi="Times New Roman" w:cs="Times New Roman" w:eastAsia="Times New Roman"/>
            <w:color w:val="000000"/>
            <w:spacing w:val="0"/>
            <w:position w:val="0"/>
            <w:sz w:val="24"/>
            <w:u w:val="single"/>
            <w:shd w:fill="auto" w:val="clear"/>
          </w:rPr>
          <w:t xml:space="preserve">https://doi.org/10.1007/s10693-023-00391-7</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Iglesias-Casal, J., Sestelo, A., &amp; Villa, M. (2020). The Impact of Securitization on Financial Stability in European Banks. Journal of Banking &amp; Finance, 120, 105-118. </w:t>
      </w:r>
      <w:hyperlink xmlns:r="http://schemas.openxmlformats.org/officeDocument/2006/relationships" r:id="docRId9">
        <w:r>
          <w:rPr>
            <w:rFonts w:ascii="Times New Roman" w:hAnsi="Times New Roman" w:cs="Times New Roman" w:eastAsia="Times New Roman"/>
            <w:color w:val="000000"/>
            <w:spacing w:val="0"/>
            <w:position w:val="0"/>
            <w:sz w:val="24"/>
            <w:u w:val="single"/>
            <w:shd w:fill="auto" w:val="clear"/>
          </w:rPr>
          <w:t xml:space="preserve">https://doi.org/10.1016/j.jbankfin.2020.105118</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Kaaya, I. B., &amp; Pa-story, D. (2013). Credit Risk and Commercial Banks Performance in Tanzania. European Journal of Business and Management, 5(5), 96-105.</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Kayembe Helex, et al (2021). Factors Affecting the Sustainability of Microfinance Institutions: A Case of Malawi Microfinance Institutions. </w:t>
      </w:r>
      <w:hyperlink xmlns:r="http://schemas.openxmlformats.org/officeDocument/2006/relationships" r:id="docRId10">
        <w:r>
          <w:rPr>
            <w:rFonts w:ascii="Times New Roman" w:hAnsi="Times New Roman" w:cs="Times New Roman" w:eastAsia="Times New Roman"/>
            <w:color w:val="000000"/>
            <w:spacing w:val="0"/>
            <w:position w:val="0"/>
            <w:sz w:val="24"/>
            <w:u w:val="single"/>
            <w:shd w:fill="auto" w:val="clear"/>
          </w:rPr>
          <w:t xml:space="preserve">https://www.researchgate.net/publication/350568205</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Kasyoka, A. M., &amp; Ngoya, E. J. (2017). The Impact of Central Bank Policies on Financial Stability: Evidence from East African Countries. East African Journal of Banking and Finance, 2(2), 45-56.</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Kasekende, L., &amp; Okwankin, M. (2021). Regulatory Frameworks and Financial Stability in Sub-Saharan Africa. African Journal of Economic and Management Studies, 12(1), 88-104. </w:t>
      </w:r>
      <w:hyperlink xmlns:r="http://schemas.openxmlformats.org/officeDocument/2006/relationships" r:id="docRId11">
        <w:r>
          <w:rPr>
            <w:rFonts w:ascii="Times New Roman" w:hAnsi="Times New Roman" w:cs="Times New Roman" w:eastAsia="Times New Roman"/>
            <w:color w:val="000000"/>
            <w:spacing w:val="0"/>
            <w:position w:val="0"/>
            <w:sz w:val="24"/>
            <w:u w:val="single"/>
            <w:shd w:fill="auto" w:val="clear"/>
          </w:rPr>
          <w:t xml:space="preserve">https://doi.org/10.1108/AJEMS-01-2021-0034</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Kluza, K., &amp; Kluza, K. (2022). Evolving Risk Factors in Global Financial Markets: An Empirical Analysis. Journal of Risk Research, 25(4), 509-523. </w:t>
      </w:r>
      <w:hyperlink xmlns:r="http://schemas.openxmlformats.org/officeDocument/2006/relationships" r:id="docRId12">
        <w:r>
          <w:rPr>
            <w:rFonts w:ascii="Times New Roman" w:hAnsi="Times New Roman" w:cs="Times New Roman" w:eastAsia="Times New Roman"/>
            <w:color w:val="000000"/>
            <w:spacing w:val="0"/>
            <w:position w:val="0"/>
            <w:sz w:val="24"/>
            <w:u w:val="single"/>
            <w:shd w:fill="auto" w:val="clear"/>
          </w:rPr>
          <w:t xml:space="preserve">https://doi.org/10.1080/13669877.2021.1987555</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Kumar, S., &amp; Zafar, A. (2020). Determinants of portfolio at risk in U.S. banks: Evidence from a decade of data. Journal of Financial Stability, 46, 100694. </w:t>
      </w:r>
      <w:hyperlink xmlns:r="http://schemas.openxmlformats.org/officeDocument/2006/relationships" r:id="docRId13">
        <w:r>
          <w:rPr>
            <w:rFonts w:ascii="Times New Roman" w:hAnsi="Times New Roman" w:cs="Times New Roman" w:eastAsia="Times New Roman"/>
            <w:color w:val="000000"/>
            <w:spacing w:val="0"/>
            <w:position w:val="0"/>
            <w:sz w:val="24"/>
            <w:u w:val="single"/>
            <w:shd w:fill="auto" w:val="clear"/>
          </w:rPr>
          <w:t xml:space="preserve">https://doi.org/10.1016/j.jfs.2019.100694</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Makorere, R. (2014). Factors Affecting Loan Repayment Behavior in Tanzania. Journal of Business Research, 68(8), 1767-1773. </w:t>
      </w:r>
      <w:hyperlink xmlns:r="http://schemas.openxmlformats.org/officeDocument/2006/relationships" r:id="docRId14">
        <w:r>
          <w:rPr>
            <w:rFonts w:ascii="Times New Roman" w:hAnsi="Times New Roman" w:cs="Times New Roman" w:eastAsia="Times New Roman"/>
            <w:color w:val="000000"/>
            <w:spacing w:val="0"/>
            <w:position w:val="0"/>
            <w:sz w:val="24"/>
            <w:u w:val="single"/>
            <w:shd w:fill="auto" w:val="clear"/>
          </w:rPr>
          <w:t xml:space="preserve">https://doi.org/10.1016/j.jbusres.2014.02.002</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Makorere R.F. (2014) Factors affecting loan repayment behaviour in Tanzania: Empirical evidence from Dar es Salaam and Morogoro regions. Mzumbe University, Morogoro region, Tanzania</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Migdad, A. (2022). The Quality of Credit Risk Management and Financial Performance of Commercial Banks in Tanzania. Tanzania Journal of Business Studies, 15(2), 53-68.</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Mpumwire B. &amp; Mulyungi P (2018). Effect of Portfolio Management on The Financial Performance of The Banking Industry in Rwanda Case Study: Rwanda Development Bank. International Journal of Research in Management, Economics and Commerce, ISSN 2250-057X, Impact Factor: 6.384, Volume. </w:t>
      </w:r>
      <w:hyperlink xmlns:r="http://schemas.openxmlformats.org/officeDocument/2006/relationships" r:id="docRId15">
        <w:r>
          <w:rPr>
            <w:rFonts w:ascii="Times New Roman" w:hAnsi="Times New Roman" w:cs="Times New Roman" w:eastAsia="Times New Roman"/>
            <w:color w:val="000000"/>
            <w:spacing w:val="0"/>
            <w:position w:val="0"/>
            <w:sz w:val="24"/>
            <w:u w:val="single"/>
            <w:shd w:fill="auto" w:val="clear"/>
          </w:rPr>
          <w:t xml:space="preserve">http://indusedu.org</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Morshedur M. R, Kamal Uddin K.M &amp; Ul-Huq S.M (2015). Factors Affecting the Risk-taking Behavior of Commercial Banks in Bangladesh. Applied Finance and Accounting. </w:t>
      </w:r>
      <w:hyperlink xmlns:r="http://schemas.openxmlformats.org/officeDocument/2006/relationships" r:id="docRId16">
        <w:r>
          <w:rPr>
            <w:rFonts w:ascii="Times New Roman" w:hAnsi="Times New Roman" w:cs="Times New Roman" w:eastAsia="Times New Roman"/>
            <w:color w:val="000000"/>
            <w:spacing w:val="0"/>
            <w:position w:val="0"/>
            <w:sz w:val="24"/>
            <w:u w:val="single"/>
            <w:shd w:fill="auto" w:val="clear"/>
          </w:rPr>
          <w:t xml:space="preserve">https://www.researchgate.net/publication/280554914</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Necesito, J. (2016). Portfolio Risk Assessment in Philippine Microfinance Institutions: An Empirical Study. Philippine Management Review, 23(1), 23-34.</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Ngonyani A., &amp; Mapesa S. (2019). Implications of Credit Supervision Practices on Portfolio at Risk of Microfinance Institutions in Tanzania. Journal of Financial Regulation and Compliance, 27(4), 456-471. </w:t>
      </w:r>
      <w:hyperlink xmlns:r="http://schemas.openxmlformats.org/officeDocument/2006/relationships" r:id="docRId17">
        <w:r>
          <w:rPr>
            <w:rFonts w:ascii="Times New Roman" w:hAnsi="Times New Roman" w:cs="Times New Roman" w:eastAsia="Times New Roman"/>
            <w:color w:val="000000"/>
            <w:spacing w:val="0"/>
            <w:position w:val="0"/>
            <w:sz w:val="24"/>
            <w:u w:val="single"/>
            <w:shd w:fill="auto" w:val="clear"/>
          </w:rPr>
          <w:t xml:space="preserve">https://doi.org/10.1108/JFRC-03-2019-0043</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Ngonyani D. B &amp; Mapesa H.J. (2019). Implication of Credit Supervision Practices on Portfolio at risk of Microfinance Institutions in Tanzania of Economics and Financial Analysis. Online ISSN: 2521-6619 Publisher: Journal homepage: ojs.tripaledu.com/jefa</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Ogejiuba, K., &amp; Lawal, M. (2020). The Role of Central Bank Interventions in Financial Stability in Nigeria: An Empirical Investigation. Journal of African Business, 21(1), 95-113. </w:t>
      </w:r>
      <w:hyperlink xmlns:r="http://schemas.openxmlformats.org/officeDocument/2006/relationships" r:id="docRId18">
        <w:r>
          <w:rPr>
            <w:rFonts w:ascii="Times New Roman" w:hAnsi="Times New Roman" w:cs="Times New Roman" w:eastAsia="Times New Roman"/>
            <w:color w:val="000000"/>
            <w:spacing w:val="0"/>
            <w:position w:val="0"/>
            <w:sz w:val="24"/>
            <w:u w:val="single"/>
            <w:shd w:fill="auto" w:val="clear"/>
          </w:rPr>
          <w:t xml:space="preserve">https://doi.org/10.1080/15228916.2020.1731923</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Obed, A. M. (2015). Determinants of Loan Portfolio at Risk in Microfinance Institutions in Sub-Saharan Africa. International Journal of Economics and Financial Issues, 5(1), 25-34.</w:t>
      </w: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Okeowo, P., Abubakar, I., &amp; Yusuff, A. (2020). Factors influencing portfolio at risk in Nigerian banks: A mixed-methods approach. African Journal of Economic and Management Studies, 11(3), 425-440. </w:t>
      </w:r>
      <w:hyperlink xmlns:r="http://schemas.openxmlformats.org/officeDocument/2006/relationships" r:id="docRId19">
        <w:r>
          <w:rPr>
            <w:rFonts w:ascii="Times New Roman" w:hAnsi="Times New Roman" w:cs="Times New Roman" w:eastAsia="Times New Roman"/>
            <w:color w:val="000000"/>
            <w:spacing w:val="0"/>
            <w:position w:val="0"/>
            <w:sz w:val="24"/>
            <w:u w:val="single"/>
            <w:shd w:fill="auto" w:val="clear"/>
          </w:rPr>
          <w:t xml:space="preserve">https://doi.org/10.1108/AJEMS-10-2019-0338</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Rampini, A. A., Viswanathan, S., &amp; Vuillemey, A. (2020). Risk Management Practices in Financial Institutions: Evidence from Interest Rate and Foreign Exchange Hedging. Journal of Financial Economics, 136(3), 664-688. </w:t>
      </w:r>
      <w:hyperlink xmlns:r="http://schemas.openxmlformats.org/officeDocument/2006/relationships" r:id="docRId20">
        <w:r>
          <w:rPr>
            <w:rFonts w:ascii="Times New Roman" w:hAnsi="Times New Roman" w:cs="Times New Roman" w:eastAsia="Times New Roman"/>
            <w:color w:val="000000"/>
            <w:spacing w:val="0"/>
            <w:position w:val="0"/>
            <w:sz w:val="24"/>
            <w:u w:val="single"/>
            <w:shd w:fill="auto" w:val="clear"/>
          </w:rPr>
          <w:t xml:space="preserve">https://doi.org/10.1016/j.jfineco.2019.08.011</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Ramos, S., Martins, J., &amp; Silva, A. (2022). A systematic review of factors influencing portfolio risk in financial institutions. Journal of Banking and Finance, 130, 106162. </w:t>
      </w:r>
      <w:hyperlink xmlns:r="http://schemas.openxmlformats.org/officeDocument/2006/relationships" r:id="docRId21">
        <w:r>
          <w:rPr>
            <w:rFonts w:ascii="Times New Roman" w:hAnsi="Times New Roman" w:cs="Times New Roman" w:eastAsia="Times New Roman"/>
            <w:color w:val="000000"/>
            <w:spacing w:val="0"/>
            <w:position w:val="0"/>
            <w:sz w:val="24"/>
            <w:u w:val="single"/>
            <w:shd w:fill="auto" w:val="clear"/>
          </w:rPr>
          <w:t xml:space="preserve">https://doi.org/10.1016/j.jbankfin.2021.106162</w:t>
        </w:r>
      </w:hyperlink>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p>
    <w:p>
      <w:pPr>
        <w:spacing w:before="0" w:after="0" w:line="360"/>
        <w:ind w:right="0" w:left="200" w:hanging="48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Shah, A., &amp; Kaur, K. (2019). An analysis of factors affecting portfolio at risk in Indian commercial banks. International Journal of Bank Marketing, 37(4), 912-928. </w:t>
      </w:r>
      <w:hyperlink xmlns:r="http://schemas.openxmlformats.org/officeDocument/2006/relationships" r:id="docRId22">
        <w:r>
          <w:rPr>
            <w:rFonts w:ascii="Times New Roman" w:hAnsi="Times New Roman" w:cs="Times New Roman" w:eastAsia="Times New Roman"/>
            <w:color w:val="000000"/>
            <w:spacing w:val="0"/>
            <w:position w:val="0"/>
            <w:sz w:val="24"/>
            <w:u w:val="single"/>
            <w:shd w:fill="auto" w:val="clear"/>
          </w:rPr>
          <w:t xml:space="preserve">https://doi.org/10</w:t>
        </w:r>
      </w:hyperlink>
      <w:r>
        <w:rPr>
          <w:rFonts w:ascii="Times New Roman" w:hAnsi="Times New Roman" w:cs="Times New Roman" w:eastAsia="Times New Roman"/>
          <w:color w:val="000000"/>
          <w:spacing w:val="0"/>
          <w:position w:val="0"/>
          <w:sz w:val="24"/>
          <w:shd w:fill="auto" w:val="clear"/>
        </w:rPr>
        <w:t xml:space="preserve">.</w:t>
      </w: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p>
    <w:p>
      <w:pPr>
        <w:spacing w:before="76" w:after="160" w:line="360"/>
        <w:ind w:right="0" w:left="740" w:firstLine="0"/>
        <w:jc w:val="center"/>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APPENDICES</w:t>
      </w:r>
    </w:p>
    <w:p>
      <w:pPr>
        <w:keepNext w:val="true"/>
        <w:keepLines w:val="true"/>
        <w:spacing w:before="40" w:after="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Appendix I: Research questionnaires</w:t>
      </w:r>
    </w:p>
    <w:p>
      <w:pPr>
        <w:spacing w:before="0" w:after="0" w:line="360"/>
        <w:ind w:right="0" w:left="-5"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Dear respondent, </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 am a Master’s Degree student at Tanzania Institute Accountancy (TIA) undertaking an academic study on  Evaluating Factors Influencing Portfolio at Risk (PaR) and Financial Stability in Financial Institutions Dar es Salaam. Your responses was  treated confidential and used for only academic purpose.</w:t>
      </w:r>
    </w:p>
    <w:p>
      <w:pPr>
        <w:spacing w:before="0" w:after="160" w:line="259"/>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Part A: Demographic Information</w:t>
      </w:r>
    </w:p>
    <w:p>
      <w:pPr>
        <w:spacing w:before="0" w:after="160" w:line="259"/>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Please select the appropriate option for each demographic question by marking the corresponding checkbox.</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gender?</w:t>
        <w:br/>
        <w:t xml:space="preserve">[ ] Male</w:t>
        <w:br/>
        <w:t xml:space="preserve">[ ] Female</w:t>
        <w:br/>
        <w:t xml:space="preserve">[ ] Other</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age group?</w:t>
        <w:br/>
        <w:t xml:space="preserve">[ ] Under 25</w:t>
        <w:br/>
        <w:t xml:space="preserve">[ ] 25-35</w:t>
        <w:br/>
        <w:t xml:space="preserve">[ ] 35-45</w:t>
        <w:br/>
        <w:t xml:space="preserve">[ ] 45- and above</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highest level of education completed?</w:t>
        <w:br/>
        <w:t xml:space="preserve">[ ] High school diploma or equivalent</w:t>
        <w:br/>
        <w:t xml:space="preserve">[ ] Bachelor's degree</w:t>
        <w:br/>
        <w:t xml:space="preserve">[ ] Master's degree</w:t>
        <w:br/>
        <w:t xml:space="preserve">[ ] Doctoral degree</w:t>
        <w:br/>
        <w:t xml:space="preserve">[ ] Other (please specify): ________________</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employment status?</w:t>
        <w:br/>
        <w:t xml:space="preserve">[ ] Employed full-time</w:t>
        <w:br/>
        <w:t xml:space="preserve">[ ] Employed part-time</w:t>
        <w:br/>
        <w:t xml:space="preserve">[ ] Self-employed</w:t>
        <w:br/>
        <w:t xml:space="preserve">[ ] Unemployed</w:t>
        <w:br/>
        <w:t xml:space="preserve">[ ] Student</w:t>
        <w:br/>
        <w:t xml:space="preserve">[ ] Retired</w:t>
        <w:br/>
        <w:t xml:space="preserve">[ ] Other (please specify): ________________</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position in the financial institution?</w:t>
        <w:br/>
        <w:t xml:space="preserve">[ ] Junior Staff</w:t>
        <w:br/>
        <w:t xml:space="preserve">[ ] Mid-Level Manager</w:t>
        <w:br/>
        <w:t xml:space="preserve">[ ] Senior Manager</w:t>
        <w:br/>
        <w:t xml:space="preserve">[ ] Executive</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many years of experience do you have in the financial sector?</w:t>
        <w:br/>
        <w:t xml:space="preserve">[ ] Less than 1 year</w:t>
        <w:br/>
        <w:t xml:space="preserve">[ ] 1-5 years</w:t>
        <w:br/>
        <w:t xml:space="preserve">[ ] 6-10 years</w:t>
        <w:br/>
        <w:t xml:space="preserve">[ ] More than 10 years</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the name of your financial institution? __________________________</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Type of Institution:</w:t>
        <w:br/>
        <w:t xml:space="preserve">[ ] Commercial Bank</w:t>
        <w:br/>
        <w:t xml:space="preserve">[ ] Microfinance Institution</w:t>
        <w:br/>
        <w:t xml:space="preserve">[ ] Cooperative Bank</w:t>
        <w:br/>
        <w:t xml:space="preserve">[ ] Other (Please specify): __________________________</w:t>
      </w:r>
    </w:p>
    <w:p>
      <w:pPr>
        <w:numPr>
          <w:ilvl w:val="0"/>
          <w:numId w:val="79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your annual household income?</w:t>
        <w:br/>
        <w:t xml:space="preserve">[ ] Less than 25,000 Tsh</w:t>
        <w:br/>
        <w:t xml:space="preserve">[ ] 25,000 - 49,999 Tsh</w:t>
        <w:br/>
        <w:t xml:space="preserve">[ ] 50,000 - 74,999 Tsh</w:t>
        <w:br/>
        <w:t xml:space="preserve">[ ] 75,000 - 99,999 Tsh</w:t>
        <w:br/>
        <w:t xml:space="preserve">[ ] 100,000 - 149,999 Tsh</w:t>
        <w:br/>
        <w:t xml:space="preserve">[ ] 150,000 or more Tsh</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Part B: Factors Contributing to Portfolio at Risk (PaR)</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following table, please select the appropriate answer for each statement based on your experiences and perceptions.</w:t>
      </w:r>
    </w:p>
    <w:p>
      <w:pPr>
        <w:numPr>
          <w:ilvl w:val="0"/>
          <w:numId w:val="79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is the average loan default rate in your institution?</w:t>
        <w:br/>
        <w:t xml:space="preserve">[ ] Less than 2%</w:t>
        <w:br/>
        <w:t xml:space="preserve">[ ] 2-5%</w:t>
        <w:br/>
        <w:t xml:space="preserve">[ ] 6-10%</w:t>
        <w:br/>
        <w:t xml:space="preserve">[ ] More than 10%</w:t>
      </w:r>
    </w:p>
    <w:p>
      <w:pPr>
        <w:numPr>
          <w:ilvl w:val="0"/>
          <w:numId w:val="79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would you rate the credit risk exposure of your institution?</w:t>
        <w:br/>
        <w:t xml:space="preserve">[ ] Low</w:t>
        <w:br/>
        <w:t xml:space="preserve">[ ] Medium</w:t>
        <w:br/>
        <w:t xml:space="preserve">[ ] High</w:t>
      </w:r>
    </w:p>
    <w:p>
      <w:pPr>
        <w:numPr>
          <w:ilvl w:val="0"/>
          <w:numId w:val="79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What percentage of your institution’s loans are provisioned for losses?</w:t>
        <w:br/>
        <w:t xml:space="preserve">[ ] Less than 1%</w:t>
        <w:br/>
        <w:t xml:space="preserve">[ ] 1-3%</w:t>
        <w:br/>
        <w:t xml:space="preserve">[ ] 4-6%</w:t>
        <w:br/>
        <w:t xml:space="preserve">[ ] More than 6%</w:t>
      </w:r>
    </w:p>
    <w:p>
      <w:pPr>
        <w:numPr>
          <w:ilvl w:val="0"/>
          <w:numId w:val="79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would you describe the quality of assets held by your institution?</w:t>
        <w:br/>
        <w:t xml:space="preserve">[ ] Poor</w:t>
        <w:br/>
        <w:t xml:space="preserve">[ ] Fair</w:t>
        <w:br/>
        <w:t xml:space="preserve">[ ] Good</w:t>
        <w:br/>
        <w:t xml:space="preserve">[ ] Excellent</w:t>
      </w:r>
    </w:p>
    <w:p>
      <w:pPr>
        <w:numPr>
          <w:ilvl w:val="0"/>
          <w:numId w:val="79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significantly do economic downturns affect your institution’s portfolio at risk?</w:t>
        <w:br/>
        <w:t xml:space="preserve">[ ] Not at all</w:t>
        <w:br/>
        <w:t xml:space="preserve">[ ] Slightly</w:t>
        <w:br/>
        <w:t xml:space="preserve">[ ] Moderately</w:t>
        <w:br/>
        <w:t xml:space="preserve">[ ] Significantly</w:t>
      </w:r>
    </w:p>
    <w:p>
      <w:pPr>
        <w:tabs>
          <w:tab w:val="left" w:pos="720" w:leader="none"/>
        </w:tabs>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tabs>
          <w:tab w:val="left" w:pos="720" w:leader="none"/>
        </w:tabs>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often does the Non-Performing Loans (NPL) Ratio affect your institution's portfolio at risk?</w:t>
        <w:br/>
        <w:t xml:space="preserve">[ ] Not at all</w:t>
        <w:br/>
        <w:t xml:space="preserve">[ ] Rarely</w:t>
        <w:br/>
        <w:t xml:space="preserve">[ ] Sometimes</w:t>
        <w:br/>
        <w:t xml:space="preserve">[ ] Often</w:t>
        <w:br/>
        <w:t xml:space="preserve">[ ] Very Often</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often do Loan Loss Provisions impact the overall risk profile of your portfolio?</w:t>
        <w:br/>
        <w:t xml:space="preserve">[ ] Not at all</w:t>
        <w:br/>
        <w:t xml:space="preserve">[ ] Rarely</w:t>
        <w:br/>
        <w:t xml:space="preserve">[ ] Sometimes</w:t>
        <w:br/>
        <w:t xml:space="preserve">[ ] Often</w:t>
        <w:br/>
        <w:t xml:space="preserve">[ ] Very Often</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the terms and interest rates of loan products affect portfolio at risk?</w:t>
        <w:br/>
        <w:t xml:space="preserve">[ ] Not at all</w:t>
        <w:br/>
        <w:t xml:space="preserve">[ ] Slightly</w:t>
        <w:br/>
        <w:t xml:space="preserve">[ ] Moderately</w:t>
        <w:br/>
        <w:t xml:space="preserve">[ ] Significantly</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market conditions (e.g., inflation, unemployment) influence portfolio at risk?</w:t>
        <w:br/>
        <w:t xml:space="preserve">[ ] Not at all</w:t>
        <w:br/>
        <w:t xml:space="preserve">[ ] Slightly</w:t>
        <w:br/>
        <w:t xml:space="preserve">[ ] Moderately</w:t>
        <w:br/>
        <w:t xml:space="preserve">[ ] Significantly</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loan default rates contribute to Portfolio at Risk?</w:t>
        <w:br/>
        <w:t xml:space="preserve">[ ] Yes</w:t>
        <w:br/>
        <w:t xml:space="preserve">[ ] No</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credit risk exposure contributes to Portfolio at Risk?</w:t>
        <w:br/>
        <w:t xml:space="preserve">[ ] Yes</w:t>
        <w:br/>
        <w:t xml:space="preserve">[ ] No</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loan loss provisions are significant in assessing Portfolio at Risk?</w:t>
        <w:br/>
        <w:t xml:space="preserve">[ ] Yes</w:t>
        <w:br/>
        <w:t xml:space="preserve">[ ] No</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economic downturns affect Portfolio at Risk?</w:t>
        <w:br/>
        <w:t xml:space="preserve">[ ] Yes</w:t>
        <w:br/>
        <w:t xml:space="preserve">[ ] No</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borrower characteristics (e.g., income, credit history) influence Portfolio at Risk?</w:t>
        <w:br/>
        <w:t xml:space="preserve">[ ] Yes</w:t>
        <w:br/>
        <w:t xml:space="preserve">[ ] No</w:t>
      </w:r>
    </w:p>
    <w:p>
      <w:pPr>
        <w:numPr>
          <w:ilvl w:val="0"/>
          <w:numId w:val="801"/>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asset quality is a critical factor in assessing Portfolio at Risk?</w:t>
        <w:br/>
        <w:t xml:space="preserve">[ ] Yes</w:t>
        <w:br/>
        <w:t xml:space="preserve">[ ] No</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Part C: Effects of Portfolio at Risk on Financial Stability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does portfolio at risk impact your institution’s capital adequacy ratio?</w:t>
        <w:br/>
        <w:t xml:space="preserve">[ ] Not at all</w:t>
        <w:br/>
        <w:t xml:space="preserve">[ ] Slightly</w:t>
        <w:br/>
        <w:t xml:space="preserve">[ ] Moderately</w:t>
        <w:br/>
        <w:t xml:space="preserve">[ ] Significantly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does portfolio at risk affect the non-performing loans ratio?</w:t>
        <w:br/>
        <w:t xml:space="preserve">[ ] Not at all</w:t>
        <w:br/>
        <w:t xml:space="preserve">[ ] Slightly</w:t>
        <w:br/>
        <w:t xml:space="preserve">[ ] Moderately</w:t>
        <w:br/>
        <w:t xml:space="preserve">[ ] Significantly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does portfolio at risk influence the return on assets?</w:t>
        <w:br/>
        <w:t xml:space="preserve">[ ] Not at all</w:t>
        <w:br/>
        <w:t xml:space="preserve">[ ] Slightly</w:t>
        <w:br/>
        <w:t xml:space="preserve">[ ] Moderately</w:t>
        <w:br/>
        <w:t xml:space="preserve">[ ] Significantly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does portfolio at risk impact the return on equity?</w:t>
        <w:br/>
        <w:t xml:space="preserve">[ ] Not at all</w:t>
        <w:br/>
        <w:t xml:space="preserve">[ ] Slightly</w:t>
        <w:br/>
        <w:t xml:space="preserve">[ ] Moderately</w:t>
        <w:br/>
        <w:t xml:space="preserve">[ ] Significantly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does portfolio at risk affect the liquidity ratio of your institution?</w:t>
        <w:br/>
        <w:t xml:space="preserve">[ ] Not at all</w:t>
        <w:br/>
        <w:t xml:space="preserve">[ ] Slightly</w:t>
        <w:br/>
        <w:t xml:space="preserve">[ ] Moderately</w:t>
        <w:br/>
        <w:t xml:space="preserve">[ ] Significantly</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believe that Portfolio at Risk directly affects the financial stability of your institution?</w:t>
        <w:br/>
        <w:t xml:space="preserve">[ ] Yes</w:t>
        <w:br/>
        <w:t xml:space="preserve">[ ] No</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Have you observed any changes in your institution's Capital Adequacy Ratio (CAR) due to Portfolio at Risk?</w:t>
        <w:br/>
        <w:t xml:space="preserve">[ ] Yes</w:t>
        <w:br/>
        <w:t xml:space="preserve">[ ] No</w:t>
      </w:r>
    </w:p>
    <w:p>
      <w:pPr>
        <w:numPr>
          <w:ilvl w:val="0"/>
          <w:numId w:val="803"/>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Have you noticed a rise in the Non-Performing Loans Ratio in relation to Portfolio at Risk?</w:t>
        <w:br/>
        <w:t xml:space="preserve">[ ] Yes</w:t>
        <w:br/>
        <w:t xml:space="preserve">[ ] No</w:t>
      </w:r>
    </w:p>
    <w:p>
      <w:pPr>
        <w:spacing w:before="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Part D: Central Bank Interventions</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interest rate adjustments influence your institution’s portfolio at risk?</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reserve requirements impact your institution’s financial stability?</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regulatory policies affect your institution’s risk management practices?</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emergency lending facilities support your institution during financial stress?</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monetary policy adjustments influence your institution’s financial stability?</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do central bank lending guidelines impact your institution’s lending procedures?</w:t>
        <w:br/>
        <w:t xml:space="preserve">[ ] Not at all</w:t>
        <w:br/>
        <w:t xml:space="preserve">[ ] Slightly</w:t>
        <w:br/>
        <w:t xml:space="preserve">[ ] Moderately</w:t>
        <w:br/>
        <w:t xml:space="preserve">[ ] Significantly</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Do you think central bank interventions play a role in moderating Portfolio at Risk?</w:t>
        <w:br/>
        <w:t xml:space="preserve">[ ] Yes</w:t>
        <w:br/>
        <w:t xml:space="preserve">[ ] No</w:t>
      </w:r>
    </w:p>
    <w:p>
      <w:pPr>
        <w:numPr>
          <w:ilvl w:val="0"/>
          <w:numId w:val="80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Have you utilized any central bank emergency lending facilities in the past year?</w:t>
        <w:br/>
        <w:t xml:space="preserve">[ ] Yes</w:t>
        <w:br/>
        <w:t xml:space="preserve">[ ] No</w:t>
      </w:r>
    </w:p>
    <w:p>
      <w:pPr>
        <w:spacing w:before="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Part E: Impact of Central Bank Interventions on Lending Procedures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the following table, please select the appropriate answer for each statement based on your experiences and perceptions.</w:t>
      </w:r>
    </w:p>
    <w:p>
      <w:pPr>
        <w:numPr>
          <w:ilvl w:val="0"/>
          <w:numId w:val="80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often do changes in lending standards, influenced by central bank policies, affect your lending procedures?</w:t>
        <w:br/>
        <w:t xml:space="preserve">[ ] Not at all</w:t>
        <w:br/>
        <w:t xml:space="preserve">[ ] Rarely</w:t>
        <w:br/>
        <w:t xml:space="preserve">[ ] Sometimes</w:t>
        <w:br/>
        <w:t xml:space="preserve">[ ] Often</w:t>
        <w:br/>
        <w:t xml:space="preserve">[ ] Very Often</w:t>
      </w:r>
    </w:p>
    <w:p>
      <w:pPr>
        <w:numPr>
          <w:ilvl w:val="0"/>
          <w:numId w:val="80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often do interest rate adjustments by the central bank influence your institution's lending decisions?</w:t>
        <w:br/>
        <w:t xml:space="preserve">[ ] Not at all</w:t>
        <w:br/>
        <w:t xml:space="preserve">[ ] Rarely</w:t>
        <w:br/>
        <w:t xml:space="preserve">[ ] Sometimes</w:t>
        <w:br/>
        <w:t xml:space="preserve">[ ] Often</w:t>
        <w:br/>
        <w:t xml:space="preserve">[ ] Very Often</w:t>
      </w:r>
    </w:p>
    <w:p>
      <w:pPr>
        <w:numPr>
          <w:ilvl w:val="0"/>
          <w:numId w:val="807"/>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To what extent do changes in loan approval rates, as a result of central bank interventions, affect portfolio at risk?</w:t>
        <w:br/>
        <w:t xml:space="preserve">[ ] Not at all</w:t>
        <w:br/>
        <w:t xml:space="preserve">[ ] Rarely</w:t>
        <w:br/>
        <w:t xml:space="preserve">[ ] Sometimes</w:t>
        <w:br/>
        <w:t xml:space="preserve">[ ] Often</w:t>
        <w:br/>
        <w:t xml:space="preserve">[ ] Very Often</w:t>
      </w:r>
    </w:p>
    <w:p>
      <w:pPr>
        <w:tabs>
          <w:tab w:val="left" w:pos="720" w:leader="none"/>
        </w:tabs>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tabs>
          <w:tab w:val="left" w:pos="720" w:leader="none"/>
        </w:tabs>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numPr>
          <w:ilvl w:val="0"/>
          <w:numId w:val="80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How frequently do borrower default rates change following central bank policy adjustments?</w:t>
        <w:br/>
        <w:t xml:space="preserve">[ ] Not at all</w:t>
        <w:br/>
        <w:t xml:space="preserve">[ ] Rarely</w:t>
        <w:br/>
        <w:t xml:space="preserve">[ ] Sometimes</w:t>
        <w:br/>
        <w:t xml:space="preserve">[ ] Often</w:t>
        <w:br/>
        <w:t xml:space="preserve">[ ] Very Often</w:t>
      </w:r>
    </w:p>
    <w:p>
      <w:pPr>
        <w:numPr>
          <w:ilvl w:val="0"/>
          <w:numId w:val="809"/>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Central bank interventions are effective in mitigating portfolio at risk in your institution.</w:t>
      </w:r>
    </w:p>
    <w:p>
      <w:pPr>
        <w:spacing w:before="0" w:after="160" w:line="360"/>
        <w:ind w:right="0" w:left="72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 ] Not at all</w:t>
        <w:br/>
        <w:t xml:space="preserve">[ ] Rarely</w:t>
        <w:br/>
        <w:t xml:space="preserve">[ ] Sometimes</w:t>
        <w:br/>
        <w:t xml:space="preserve">[ ] Often</w:t>
        <w:br/>
        <w:t xml:space="preserve">[ ] Very Often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As a customer of a commercial/financial institution, do you believe that the procedures used while providing a loan are proper?</w:t>
      </w:r>
    </w:p>
    <w:p>
      <w:pPr>
        <w:numPr>
          <w:ilvl w:val="0"/>
          <w:numId w:val="81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Yes</w:t>
      </w:r>
    </w:p>
    <w:p>
      <w:pPr>
        <w:numPr>
          <w:ilvl w:val="0"/>
          <w:numId w:val="812"/>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 No</w:t>
      </w:r>
    </w:p>
    <w:p>
      <w:pPr>
        <w:spacing w:before="0" w:after="160" w:line="360"/>
        <w:ind w:right="0" w:left="0" w:firstLine="72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If yes, please briefly explain how: </w:t>
      </w:r>
    </w:p>
    <w:p>
      <w:pPr>
        <w:spacing w:before="0" w:after="160" w:line="360"/>
        <w:ind w:right="0" w:left="0" w:firstLine="72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_____________________________________________________</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Part F: Relationship Between Central Bank Interventions and Financial Stability</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In this section, please indicate your response to each statement based on your experiences and perceptions by selecting the appropriate option:</w:t>
      </w:r>
    </w:p>
    <w:p>
      <w:pPr>
        <w:numPr>
          <w:ilvl w:val="0"/>
          <w:numId w:val="81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Policy rate changes by the central bank impact your institution's financial stability.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Not at all</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Rarely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Sometimes</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Often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Very Often</w:t>
      </w:r>
    </w:p>
    <w:p>
      <w:pPr>
        <w:numPr>
          <w:ilvl w:val="0"/>
          <w:numId w:val="81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Regulatory adjustments by the central bank influence your institution's financial health.</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Not at all</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Rarely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Sometimes</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Often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Very Often</w:t>
      </w:r>
    </w:p>
    <w:p>
      <w:pPr>
        <w:numPr>
          <w:ilvl w:val="0"/>
          <w:numId w:val="81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Monetary policy announcements by the central bank affect your institution's financial stability.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Not at all</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Rarely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Sometimes</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Often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Very Often</w:t>
      </w:r>
    </w:p>
    <w:p>
      <w:pPr>
        <w:numPr>
          <w:ilvl w:val="0"/>
          <w:numId w:val="81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Liquidity support from the central bank contributes to the financial stability of your institution.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Not at all</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Rarely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Sometimes</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Often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Very Often</w:t>
      </w:r>
    </w:p>
    <w:p>
      <w:pPr>
        <w:numPr>
          <w:ilvl w:val="0"/>
          <w:numId w:val="815"/>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Central bank interventions are effective in maintaining the financial stability of your institution.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Not at all</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Rarely</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Sometimes</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Often</w:t>
      </w:r>
    </w:p>
    <w:p>
      <w:pPr>
        <w:numPr>
          <w:ilvl w:val="0"/>
          <w:numId w:val="815"/>
        </w:numPr>
        <w:tabs>
          <w:tab w:val="left" w:pos="1440" w:leader="none"/>
        </w:tabs>
        <w:spacing w:before="0" w:after="160" w:line="360"/>
        <w:ind w:right="0" w:left="144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Very Often</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Regarding the real situation in society, do you think there is a relationship between bank loan issuance and the socio-economic status of the borrower?</w:t>
      </w:r>
    </w:p>
    <w:p>
      <w:pPr>
        <w:numPr>
          <w:ilvl w:val="0"/>
          <w:numId w:val="826"/>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a) Yes</w:t>
      </w:r>
    </w:p>
    <w:p>
      <w:pPr>
        <w:numPr>
          <w:ilvl w:val="0"/>
          <w:numId w:val="826"/>
        </w:numPr>
        <w:tabs>
          <w:tab w:val="left" w:pos="720" w:leader="none"/>
        </w:tabs>
        <w:spacing w:before="0" w:after="160" w:line="360"/>
        <w:ind w:right="0" w:left="720" w:hanging="36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b) No</w:t>
      </w:r>
    </w:p>
    <w:p>
      <w:pPr>
        <w:tabs>
          <w:tab w:val="left" w:pos="720" w:leader="none"/>
        </w:tabs>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p>
    <w:p>
      <w:pPr>
        <w:spacing w:before="0" w:after="160" w:line="360"/>
        <w:ind w:right="0" w:left="0" w:firstLine="0"/>
        <w:jc w:val="both"/>
        <w:rPr>
          <w:rFonts w:ascii="Times New Roman" w:hAnsi="Times New Roman" w:cs="Times New Roman" w:eastAsia="Times New Roman"/>
          <w:b/>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Part G: Central Bank as An Intervention and Moderating Tool of Commercial Banks and Financial Institutions Financial Stability </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1.</w:t>
        <w:tab/>
        <w:t xml:space="preserve">How does Central Bank help Commercial Banks and financial institutions to manage their portfolio at risk?</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2.</w:t>
        <w:tab/>
        <w:t xml:space="preserve">How does the Commercial Bank control the activities of commercial banks and financial institutions?</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3.</w:t>
        <w:tab/>
        <w:t xml:space="preserve">What strategies are implemented by Central Bank to manage the commercial banks and financial institutions portfolio at risk?</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4.</w:t>
        <w:tab/>
        <w:t xml:space="preserve">How Central Bank intervene in Commercial banks or financial institution to prevent a collapse?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 </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5.</w:t>
        <w:tab/>
        <w:t xml:space="preserve">As per your view and perceptions what cases the crisis of closed banks crisis of 2018?</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6.</w:t>
        <w:tab/>
        <w:t xml:space="preserve">As per above answers questions five, according to views and perceptions how far the policies, intervene and risk management was not effective?</w:t>
      </w:r>
    </w:p>
    <w:p>
      <w:pPr>
        <w:spacing w:before="0" w:after="160" w:line="36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color w:val="000000"/>
          <w:spacing w:val="0"/>
          <w:position w:val="0"/>
          <w:sz w:val="24"/>
          <w:shd w:fill="auto" w:val="clear"/>
        </w:rPr>
        <w:t xml:space="preserve">………………………………………………………………………………………………………………………………………………………………………………………………………………………………………………………………………………………………………………………………………….</w:t>
      </w:r>
    </w:p>
  </w:body>
</w:document>
</file>

<file path=word/numbering.xml><?xml version="1.0" encoding="utf-8"?>
<w:numbering xmlns:w="http://schemas.openxmlformats.org/wordprocessingml/2006/main">
  <w:abstractNum w:abstractNumId="0">
    <w:lvl w:ilvl="0">
      <w:start w:val="1"/>
      <w:numFmt w:val="bullet"/>
      <w:lvlText w:val="•"/>
    </w:lvl>
  </w:abstractNum>
  <w:abstractNum w:abstractNumId="4">
    <w:lvl w:ilvl="0">
      <w:start w:val="1"/>
      <w:numFmt w:val="lowerRoman"/>
      <w:lvlText w:val="%1."/>
    </w:lvl>
  </w:abstractNum>
  <w:abstractNum w:abstractNumId="6">
    <w:lvl w:ilvl="0">
      <w:start w:val="1"/>
      <w:numFmt w:val="bullet"/>
      <w:lvlText w:val="•"/>
    </w:lvl>
  </w:abstractNum>
  <w:abstractNum w:abstractNumId="12">
    <w:lvl w:ilvl="0">
      <w:start w:val="1"/>
      <w:numFmt w:val="bullet"/>
      <w:lvlText w:val="•"/>
    </w:lvl>
  </w:abstractNum>
  <w:abstractNum w:abstractNumId="18">
    <w:lvl w:ilvl="0">
      <w:start w:val="1"/>
      <w:numFmt w:val="bullet"/>
      <w:lvlText w:val="•"/>
    </w:lvl>
  </w:abstractNum>
  <w:abstractNum w:abstractNumId="24">
    <w:lvl w:ilvl="0">
      <w:start w:val="1"/>
      <w:numFmt w:val="bullet"/>
      <w:lvlText w:val="•"/>
    </w:lvl>
  </w:abstractNum>
  <w:abstractNum w:abstractNumId="30">
    <w:lvl w:ilvl="0">
      <w:start w:val="1"/>
      <w:numFmt w:val="bullet"/>
      <w:lvlText w:val="•"/>
    </w:lvl>
  </w:abstractNum>
  <w:abstractNum w:abstractNumId="36">
    <w:lvl w:ilvl="0">
      <w:start w:val="1"/>
      <w:numFmt w:val="bullet"/>
      <w:lvlText w:val="•"/>
    </w:lvl>
  </w:abstractNum>
  <w:abstractNum w:abstractNumId="42">
    <w:lvl w:ilvl="0">
      <w:start w:val="1"/>
      <w:numFmt w:val="bullet"/>
      <w:lvlText w:val="•"/>
    </w:lvl>
  </w:abstractNum>
  <w:abstractNum w:abstractNumId="48">
    <w:lvl w:ilvl="0">
      <w:start w:val="1"/>
      <w:numFmt w:val="bullet"/>
      <w:lvlText w:val="•"/>
    </w:lvl>
  </w:abstractNum>
  <w:abstractNum w:abstractNumId="54">
    <w:lvl w:ilvl="0">
      <w:start w:val="1"/>
      <w:numFmt w:val="bullet"/>
      <w:lvlText w:val="•"/>
    </w:lvl>
  </w:abstractNum>
  <w:abstractNum w:abstractNumId="60">
    <w:lvl w:ilvl="0">
      <w:start w:val="1"/>
      <w:numFmt w:val="bullet"/>
      <w:lvlText w:val="•"/>
    </w:lvl>
  </w:abstractNum>
  <w:abstractNum w:abstractNumId="66">
    <w:lvl w:ilvl="0">
      <w:start w:val="1"/>
      <w:numFmt w:val="bullet"/>
      <w:lvlText w:val="•"/>
    </w:lvl>
  </w:abstractNum>
  <w:abstractNum w:abstractNumId="72">
    <w:lvl w:ilvl="0">
      <w:start w:val="1"/>
      <w:numFmt w:val="bullet"/>
      <w:lvlText w:val="•"/>
    </w:lvl>
  </w:abstractNum>
  <w:abstractNum w:abstractNumId="78">
    <w:lvl w:ilvl="0">
      <w:start w:val="1"/>
      <w:numFmt w:val="bullet"/>
      <w:lvlText w:val="•"/>
    </w:lvl>
  </w:abstractNum>
  <w:abstractNum w:abstractNumId="84">
    <w:lvl w:ilvl="0">
      <w:start w:val="1"/>
      <w:numFmt w:val="bullet"/>
      <w:lvlText w:val="•"/>
    </w:lvl>
  </w:abstractNum>
  <w:abstractNum w:abstractNumId="90">
    <w:lvl w:ilvl="0">
      <w:start w:val="1"/>
      <w:numFmt w:val="bullet"/>
      <w:lvlText w:val="•"/>
    </w:lvl>
  </w:abstractNum>
  <w:abstractNum w:abstractNumId="96">
    <w:lvl w:ilvl="0">
      <w:start w:val="1"/>
      <w:numFmt w:val="bullet"/>
      <w:lvlText w:val="•"/>
    </w:lvl>
  </w:abstractNum>
  <w:abstractNum w:abstractNumId="102">
    <w:lvl w:ilvl="0">
      <w:start w:val="1"/>
      <w:numFmt w:val="bullet"/>
      <w:lvlText w:val="•"/>
    </w:lvl>
  </w:abstractNum>
  <w:num w:numId="85">
    <w:abstractNumId w:val="102"/>
  </w:num>
  <w:num w:numId="87">
    <w:abstractNumId w:val="4"/>
  </w:num>
  <w:num w:numId="187">
    <w:abstractNumId w:val="96"/>
  </w:num>
  <w:num w:numId="222">
    <w:abstractNumId w:val="90"/>
  </w:num>
  <w:num w:numId="228">
    <w:abstractNumId w:val="84"/>
  </w:num>
  <w:num w:numId="231">
    <w:abstractNumId w:val="78"/>
  </w:num>
  <w:num w:numId="235">
    <w:abstractNumId w:val="72"/>
  </w:num>
  <w:num w:numId="658">
    <w:abstractNumId w:val="66"/>
  </w:num>
  <w:num w:numId="705">
    <w:abstractNumId w:val="60"/>
  </w:num>
  <w:num w:numId="797">
    <w:abstractNumId w:val="54"/>
  </w:num>
  <w:num w:numId="799">
    <w:abstractNumId w:val="48"/>
  </w:num>
  <w:num w:numId="801">
    <w:abstractNumId w:val="42"/>
  </w:num>
  <w:num w:numId="803">
    <w:abstractNumId w:val="36"/>
  </w:num>
  <w:num w:numId="805">
    <w:abstractNumId w:val="30"/>
  </w:num>
  <w:num w:numId="807">
    <w:abstractNumId w:val="24"/>
  </w:num>
  <w:num w:numId="809">
    <w:abstractNumId w:val="18"/>
  </w:num>
  <w:num w:numId="812">
    <w:abstractNumId w:val="12"/>
  </w:num>
  <w:num w:numId="815">
    <w:abstractNumId w:val="6"/>
  </w:num>
  <w:num w:numId="826">
    <w:abstractNumId w:val="0"/>
  </w:num>
</w:numbering>
</file>

<file path=word/styles.xml><?xml version="1.0" encoding="utf-8"?>
<w:styles xmlns:w="http://schemas.openxmlformats.org/wordprocessingml/2006/main"/>
</file>

<file path=word/_rels/document.xml.rels><?xml version="1.0" encoding="UTF-8"?><Relationships xmlns="http://schemas.openxmlformats.org/package/2006/relationships"><Relationship TargetMode="External" Target="https://doi.org/10.1108/JFRC-03-2019-0043" Id="docRId17" Type="http://schemas.openxmlformats.org/officeDocument/2006/relationships/hyperlink" /><Relationship Target="styles.xml" Id="docRId24" Type="http://schemas.openxmlformats.org/officeDocument/2006/relationships/styles" /><Relationship TargetMode="External" Target="https://doi.org/10.1080/1351847X.2016.1152335" Id="docRId7" Type="http://schemas.openxmlformats.org/officeDocument/2006/relationships/hyperlink" /><Relationship TargetMode="External" Target="https://doi.org/10.1016/j.jbusres.2014.02.002" Id="docRId14" Type="http://schemas.openxmlformats.org/officeDocument/2006/relationships/hyperlink" /><Relationship Target="numbering.xml" Id="docRId23" Type="http://schemas.openxmlformats.org/officeDocument/2006/relationships/numbering" /><Relationship TargetMode="External" Target="http://www.ijeais.org/ijamr" Id="docRId6" Type="http://schemas.openxmlformats.org/officeDocument/2006/relationships/hyperlink" /><Relationship TargetMode="External" Target="https://www.researchgate.net/publication/347600326" Id="docRId1" Type="http://schemas.openxmlformats.org/officeDocument/2006/relationships/hyperlink" /><Relationship TargetMode="External" Target="http://indusedu.org/" Id="docRId15" Type="http://schemas.openxmlformats.org/officeDocument/2006/relationships/hyperlink" /><Relationship TargetMode="External" Target="https://doi.org/10" Id="docRId22" Type="http://schemas.openxmlformats.org/officeDocument/2006/relationships/hyperlink" /><Relationship TargetMode="External" Target="https://doi.org/10.1016/j.jbankfin.2020.105118" Id="docRId9" Type="http://schemas.openxmlformats.org/officeDocument/2006/relationships/hyperlink" /><Relationship TargetMode="External" Target="https://doi.org/10.1108/IJDI-04-2021-0074" Id="docRId0" Type="http://schemas.openxmlformats.org/officeDocument/2006/relationships/hyperlink" /><Relationship TargetMode="External" Target="https://doi.org/10.1080/13669877.2021.1987555" Id="docRId12" Type="http://schemas.openxmlformats.org/officeDocument/2006/relationships/hyperlink" /><Relationship TargetMode="External" Target="https://www.researchgate.net/publication/280554914" Id="docRId16" Type="http://schemas.openxmlformats.org/officeDocument/2006/relationships/hyperlink" /><Relationship TargetMode="External" Target="https://doi.org/10.1016/j.jbankfin.2021.106162" Id="docRId21" Type="http://schemas.openxmlformats.org/officeDocument/2006/relationships/hyperlink" /><Relationship TargetMode="External" Target="https://doi.org/10.1007/s10693-020-00325-3" Id="docRId4" Type="http://schemas.openxmlformats.org/officeDocument/2006/relationships/hyperlink" /><Relationship TargetMode="External" Target="https://doi.org/10.1007/s10693-023-00391-7" Id="docRId8" Type="http://schemas.openxmlformats.org/officeDocument/2006/relationships/hyperlink" /><Relationship TargetMode="External" Target="https://doi.org/10.1016/j.jfs.2019.100694" Id="docRId13" Type="http://schemas.openxmlformats.org/officeDocument/2006/relationships/hyperlink" /><Relationship TargetMode="External" Target="https://doi.org/10.1016/j.jfineco.2019.08.011" Id="docRId20" Type="http://schemas.openxmlformats.org/officeDocument/2006/relationships/hyperlink" /><Relationship TargetMode="External" Target="https://doi.org/10.1016/j.jfs.2023.100120" Id="docRId3" Type="http://schemas.openxmlformats.org/officeDocument/2006/relationships/hyperlink" /><Relationship TargetMode="External" Target="https://www.researchgate.net/publication/350568205" Id="docRId10" Type="http://schemas.openxmlformats.org/officeDocument/2006/relationships/hyperlink" /><Relationship TargetMode="External" Target="https://doi.org/10.1080/15228916.2020.1731923" Id="docRId18" Type="http://schemas.openxmlformats.org/officeDocument/2006/relationships/hyperlink" /><Relationship TargetMode="External" Target="https://www.researchgate.net/publication/228201551" Id="docRId2" Type="http://schemas.openxmlformats.org/officeDocument/2006/relationships/hyperlink" /><Relationship TargetMode="External" Target="https://doi.org/10.1108/AJEMS-01-2021-0034" Id="docRId11" Type="http://schemas.openxmlformats.org/officeDocument/2006/relationships/hyperlink" /><Relationship TargetMode="External" Target="https://doi.org/10.1108/AJEMS-10-2019-0338" Id="docRId19" Type="http://schemas.openxmlformats.org/officeDocument/2006/relationships/hyperlink" /><Relationship TargetMode="External" Target="https://doi.org/10.1093/wbro/lkaa007" Id="docRId5" Type="http://schemas.openxmlformats.org/officeDocument/2006/relationships/hyperlink" /></Relationships>
</file>