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54E8" w:rsidRDefault="00437737" w:rsidP="00437737">
      <w:r>
        <w:t xml:space="preserve">ABSTRACT This study investigated the impact of trust, communication strategies, and commitment levels on NGS Investment </w:t>
      </w:r>
      <w:proofErr w:type="spellStart"/>
      <w:r>
        <w:t>Ltd's</w:t>
      </w:r>
      <w:proofErr w:type="spellEnd"/>
      <w:r>
        <w:t xml:space="preserve"> performance in its relationships with third-party clients in the logistics sector. The primary objective of this research was to examine the influence of trust, communication, and commitment on NGS Investment </w:t>
      </w:r>
      <w:proofErr w:type="spellStart"/>
      <w:r>
        <w:t>Ltd's</w:t>
      </w:r>
      <w:proofErr w:type="spellEnd"/>
      <w:r>
        <w:t xml:space="preserve"> performance. A quantitative research approach was used, utilizing a structured Likert-scale questionnaire to gather data on key indicators of trust. Diagnostic tests were conducted, including reliability assessments, heteroscedasticity tests, and model fitting analysis. </w:t>
      </w:r>
      <w:proofErr w:type="spellStart"/>
      <w:r>
        <w:t>multicollinearity</w:t>
      </w:r>
      <w:proofErr w:type="spellEnd"/>
      <w:r>
        <w:t xml:space="preserve"> checks, </w:t>
      </w:r>
      <w:proofErr w:type="gramStart"/>
      <w:r>
        <w:t>The</w:t>
      </w:r>
      <w:proofErr w:type="gramEnd"/>
      <w:r>
        <w:t xml:space="preserve"> findings revealed that trust significantly impacted performance, with the model demonstrating a Cronbach’s Alpha of 0.752, indicating acceptable internal consistency. The model fitting analysis showed a statistically significant improvement by including trust variables (Chi-Square = 92.252, </w:t>
      </w:r>
      <w:proofErr w:type="spellStart"/>
      <w:r>
        <w:t>df</w:t>
      </w:r>
      <w:proofErr w:type="spellEnd"/>
      <w:r>
        <w:t xml:space="preserve"> = 5, Sig. = 0.000), underscoring trust as crucial in establishing good client relationships that drive performance. Similarly, communication strategies were found to have a strong, positive influence on performance, supported by a high Cronbach’s Alpha of 0.894, reflecting excellent reliability. The statistical model showed significant results for communication variables, with the final model achieving a Chi-Square of 54.531 (</w:t>
      </w:r>
      <w:proofErr w:type="spellStart"/>
      <w:r>
        <w:t>df</w:t>
      </w:r>
      <w:proofErr w:type="spellEnd"/>
      <w:r>
        <w:t xml:space="preserve"> = 5, Sig. = 0.000), indicating that structured, clear, and timely communication enhances coordination and decision-making between NGS Investment Ltd and its third-party clients. Additionally, commitment levels demonstrated a significant positive impact on performance, with a Cronbach’s Alpha of 0.747, confirming acceptable internal consistency. The model fit showed a significant Chi-Square value of 92.252 (</w:t>
      </w:r>
      <w:proofErr w:type="spellStart"/>
      <w:r>
        <w:t>df</w:t>
      </w:r>
      <w:proofErr w:type="spellEnd"/>
      <w:r>
        <w:t xml:space="preserve"> = 5, Sig. = 0.000) for commitment variables, indicating that solid commitment enhances partnership quality, operational resilience, and efficiency. In conclusion, this study establishes trust, effective communication, and commitment as </w:t>
      </w:r>
      <w:proofErr w:type="gramStart"/>
      <w:r>
        <w:t>an essential components</w:t>
      </w:r>
      <w:proofErr w:type="gramEnd"/>
      <w:r>
        <w:t xml:space="preserve"> for optimizing NGS Investment </w:t>
      </w:r>
      <w:proofErr w:type="spellStart"/>
      <w:r>
        <w:t>Ltd’s</w:t>
      </w:r>
      <w:proofErr w:type="spellEnd"/>
      <w:r>
        <w:t xml:space="preserve"> performance with third-party clients. By prioritizing these elements, NGS Investment Ltd can achieve sustainable growth and competitive advantage in logistics.</w:t>
      </w:r>
      <w:bookmarkStart w:id="0" w:name="_GoBack"/>
      <w:bookmarkEnd w:id="0"/>
    </w:p>
    <w:sectPr w:rsidR="00B954E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7737"/>
    <w:rsid w:val="00437737"/>
    <w:rsid w:val="00B95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037EF15-A609-4597-914A-6023911752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334</Words>
  <Characters>1905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2026-04-08T07:56:00Z</dcterms:created>
  <dcterms:modified xsi:type="dcterms:W3CDTF">2026-04-08T07:57:00Z</dcterms:modified>
</cp:coreProperties>
</file>