
<file path=[Content_Types].xml><?xml version="1.0" encoding="utf-8"?>
<Types xmlns="http://schemas.openxmlformats.org/package/2006/content-types">
  <Default Extension="xml" ContentType="application/xml"/>
  <Default Extension="jpeg" ContentType="image/jpeg"/>
  <Default Extension="JPG" ContentType="image/.jpg"/>
  <Default Extension="wmf" ContentType="image/x-w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1095"/>
          <w:tab w:val="left" w:pos="1590"/>
        </w:tabs>
        <w:spacing w:after="0"/>
        <w:jc w:val="center"/>
        <w:rPr>
          <w:rFonts w:eastAsia="Times New Roman" w:cs="Times New Roman"/>
          <w:b/>
          <w:sz w:val="28"/>
          <w:szCs w:val="28"/>
          <w:lang w:eastAsia="en-GB"/>
        </w:rPr>
      </w:pPr>
      <w:r>
        <w:rPr>
          <w:rFonts w:eastAsia="Times New Roman" w:cs="Times New Roman"/>
          <w:b/>
          <w:sz w:val="28"/>
          <w:szCs w:val="28"/>
          <w:lang w:eastAsia="en-GB"/>
        </w:rPr>
        <w:t>TANZANIA INSTITUTE OF ACCOUNTANCY (TIA)</w:t>
      </w:r>
    </w:p>
    <w:p>
      <w:pPr>
        <w:spacing w:before="0" w:after="0"/>
        <w:jc w:val="center"/>
        <w:rPr>
          <w:rFonts w:cs="Times New Roman"/>
          <w:b/>
          <w:sz w:val="28"/>
          <w:szCs w:val="28"/>
        </w:rPr>
      </w:pPr>
      <w:r>
        <w:rPr>
          <w:rFonts w:cs="Times New Roman"/>
          <w:b/>
          <w:sz w:val="28"/>
          <w:szCs w:val="28"/>
        </w:rPr>
        <w:drawing>
          <wp:inline distT="0" distB="0" distL="0" distR="0">
            <wp:extent cx="1829435" cy="1139825"/>
            <wp:effectExtent l="0" t="0" r="17780" b="3175"/>
            <wp:docPr id="1026" name="Picture 3" descr="hindu logo.jpg"/>
            <wp:cNvGraphicFramePr/>
            <a:graphic xmlns:a="http://schemas.openxmlformats.org/drawingml/2006/main">
              <a:graphicData uri="http://schemas.openxmlformats.org/drawingml/2006/picture">
                <pic:pic xmlns:pic="http://schemas.openxmlformats.org/drawingml/2006/picture">
                  <pic:nvPicPr>
                    <pic:cNvPr id="1026" name="Picture 3" descr="hindu logo.jpg"/>
                    <pic:cNvPicPr/>
                  </pic:nvPicPr>
                  <pic:blipFill>
                    <a:blip r:embed="rId10" cstate="print"/>
                    <a:srcRect/>
                    <a:stretch>
                      <a:fillRect/>
                    </a:stretch>
                  </pic:blipFill>
                  <pic:spPr>
                    <a:xfrm>
                      <a:off x="0" y="0"/>
                      <a:ext cx="1830069" cy="1139825"/>
                    </a:xfrm>
                    <a:prstGeom prst="rect">
                      <a:avLst/>
                    </a:prstGeom>
                  </pic:spPr>
                </pic:pic>
              </a:graphicData>
            </a:graphic>
          </wp:inline>
        </w:drawing>
      </w:r>
    </w:p>
    <w:p>
      <w:pPr>
        <w:spacing w:before="0" w:after="0"/>
        <w:jc w:val="center"/>
        <w:rPr>
          <w:rFonts w:cs="Times New Roman"/>
          <w:b/>
          <w:sz w:val="28"/>
          <w:szCs w:val="28"/>
        </w:rPr>
      </w:pPr>
      <w:r>
        <w:rPr>
          <w:rFonts w:cs="Times New Roman"/>
          <w:b/>
          <w:sz w:val="28"/>
          <w:szCs w:val="28"/>
        </w:rPr>
        <w:t>RESEARCH DISSERTATION</w:t>
      </w:r>
    </w:p>
    <w:p>
      <w:pPr>
        <w:spacing w:before="0" w:after="0"/>
        <w:jc w:val="center"/>
        <w:rPr>
          <w:rFonts w:cs="Times New Roman"/>
          <w:b/>
          <w:sz w:val="28"/>
          <w:szCs w:val="28"/>
        </w:rPr>
      </w:pPr>
      <w:r>
        <w:rPr>
          <w:rFonts w:cs="Times New Roman"/>
          <w:b/>
          <w:sz w:val="28"/>
          <w:szCs w:val="28"/>
        </w:rPr>
        <w:t xml:space="preserve">ON </w:t>
      </w:r>
    </w:p>
    <w:p>
      <w:pPr>
        <w:spacing w:before="0" w:after="0"/>
        <w:jc w:val="center"/>
        <w:rPr>
          <w:rFonts w:cs="Times New Roman"/>
          <w:b/>
          <w:sz w:val="28"/>
          <w:szCs w:val="28"/>
        </w:rPr>
      </w:pPr>
      <w:r>
        <w:rPr>
          <w:rFonts w:cs="Times New Roman"/>
          <w:b/>
          <w:sz w:val="28"/>
          <w:szCs w:val="28"/>
        </w:rPr>
        <w:t xml:space="preserve">THE EFFECT OF MERGERS AND ACQUISITIONS IN ENHANCING WELFARE OF PUBLIC SERVANTS IN TANZANIA: </w:t>
      </w:r>
    </w:p>
    <w:p>
      <w:pPr>
        <w:spacing w:before="0" w:after="0"/>
        <w:jc w:val="center"/>
        <w:rPr>
          <w:rFonts w:cs="Times New Roman"/>
          <w:b/>
          <w:sz w:val="28"/>
          <w:szCs w:val="28"/>
        </w:rPr>
      </w:pPr>
      <w:r>
        <w:rPr>
          <w:rFonts w:cs="Times New Roman"/>
          <w:b/>
          <w:sz w:val="28"/>
          <w:szCs w:val="28"/>
        </w:rPr>
        <w:t>A CASE OF TANZANIA PUBLIC SERVICE SOCIAL SECURITY FUND (PSSSF), DAR ES SALAAM</w:t>
      </w:r>
    </w:p>
    <w:p>
      <w:pPr>
        <w:spacing w:before="0" w:after="0"/>
        <w:jc w:val="center"/>
        <w:rPr>
          <w:rFonts w:cs="Times New Roman"/>
          <w:b/>
          <w:sz w:val="28"/>
          <w:szCs w:val="28"/>
        </w:rPr>
      </w:pPr>
    </w:p>
    <w:p>
      <w:pPr>
        <w:spacing w:before="0" w:after="0"/>
        <w:jc w:val="center"/>
        <w:rPr>
          <w:rFonts w:cs="Times New Roman"/>
          <w:b/>
          <w:sz w:val="28"/>
          <w:szCs w:val="28"/>
        </w:rPr>
      </w:pPr>
    </w:p>
    <w:p>
      <w:pPr>
        <w:spacing w:before="0" w:after="0"/>
        <w:jc w:val="center"/>
        <w:rPr>
          <w:rFonts w:cs="Times New Roman"/>
          <w:b/>
          <w:sz w:val="28"/>
          <w:szCs w:val="28"/>
        </w:rPr>
      </w:pPr>
    </w:p>
    <w:p>
      <w:pPr>
        <w:spacing w:before="0" w:after="0"/>
        <w:jc w:val="center"/>
        <w:rPr>
          <w:rFonts w:cs="Times New Roman"/>
          <w:b/>
          <w:sz w:val="28"/>
          <w:szCs w:val="28"/>
        </w:rPr>
      </w:pPr>
    </w:p>
    <w:p>
      <w:pPr>
        <w:spacing w:before="0"/>
        <w:jc w:val="center"/>
        <w:rPr>
          <w:rFonts w:cs="Times New Roman"/>
          <w:bCs/>
          <w:szCs w:val="24"/>
        </w:rPr>
      </w:pPr>
    </w:p>
    <w:p>
      <w:pPr>
        <w:spacing w:before="0" w:after="0"/>
        <w:jc w:val="center"/>
        <w:rPr>
          <w:rFonts w:cs="Times New Roman"/>
          <w:b/>
          <w:szCs w:val="24"/>
        </w:rPr>
      </w:pPr>
      <w:r>
        <w:rPr>
          <w:rFonts w:cs="Times New Roman"/>
          <w:b/>
          <w:szCs w:val="24"/>
        </w:rPr>
        <w:t>Name: Florence Kidola Makani</w:t>
      </w:r>
    </w:p>
    <w:p>
      <w:pPr>
        <w:spacing w:before="0" w:after="0"/>
        <w:jc w:val="center"/>
        <w:rPr>
          <w:rFonts w:cs="Times New Roman"/>
          <w:b/>
          <w:szCs w:val="24"/>
        </w:rPr>
      </w:pPr>
      <w:r>
        <w:rPr>
          <w:rFonts w:cs="Times New Roman"/>
          <w:b/>
          <w:szCs w:val="24"/>
        </w:rPr>
        <w:t>Reg No:  DSM/MSc.MPR/22/110736</w:t>
      </w:r>
    </w:p>
    <w:p>
      <w:pPr>
        <w:spacing w:before="0"/>
        <w:rPr>
          <w:rFonts w:cs="Times New Roman"/>
          <w:szCs w:val="24"/>
        </w:rPr>
      </w:pPr>
    </w:p>
    <w:p>
      <w:pPr>
        <w:spacing w:before="0"/>
        <w:rPr>
          <w:rFonts w:cs="Times New Roman"/>
          <w:szCs w:val="24"/>
        </w:rPr>
      </w:pPr>
    </w:p>
    <w:p>
      <w:pPr>
        <w:spacing w:before="0"/>
        <w:rPr>
          <w:rFonts w:cs="Times New Roman"/>
          <w:szCs w:val="24"/>
        </w:rPr>
      </w:pPr>
    </w:p>
    <w:p>
      <w:pPr>
        <w:spacing w:before="0"/>
        <w:jc w:val="center"/>
        <w:rPr>
          <w:rFonts w:cs="Times New Roman"/>
          <w:szCs w:val="24"/>
        </w:rPr>
      </w:pPr>
    </w:p>
    <w:p>
      <w:pPr>
        <w:spacing w:before="0" w:after="0"/>
        <w:jc w:val="center"/>
        <w:rPr>
          <w:rFonts w:cs="Times New Roman"/>
          <w:b/>
          <w:bCs/>
          <w:szCs w:val="24"/>
          <w:lang w:val="en-GB"/>
        </w:rPr>
      </w:pPr>
      <w:r>
        <w:rPr>
          <w:rFonts w:cs="Times New Roman"/>
          <w:b/>
          <w:bCs/>
          <w:szCs w:val="24"/>
        </w:rPr>
        <w:t xml:space="preserve">A </w:t>
      </w:r>
      <w:r>
        <w:rPr>
          <w:rFonts w:cs="Times New Roman"/>
          <w:b/>
          <w:bCs/>
          <w:szCs w:val="24"/>
          <w:lang w:val="en-GB"/>
        </w:rPr>
        <w:t xml:space="preserve">research </w:t>
      </w:r>
      <w:r>
        <w:rPr>
          <w:rFonts w:cs="Times New Roman"/>
          <w:b/>
          <w:szCs w:val="24"/>
        </w:rPr>
        <w:t xml:space="preserve">Dissertation </w:t>
      </w:r>
      <w:r>
        <w:rPr>
          <w:rFonts w:cs="Times New Roman"/>
          <w:b/>
          <w:bCs/>
          <w:szCs w:val="24"/>
        </w:rPr>
        <w:t xml:space="preserve">submitted to the Department of </w:t>
      </w:r>
      <w:r>
        <w:rPr>
          <w:rFonts w:cs="Times New Roman"/>
          <w:b/>
          <w:bCs/>
          <w:szCs w:val="24"/>
          <w:lang w:val="en-GB"/>
        </w:rPr>
        <w:t xml:space="preserve">Management Studies </w:t>
      </w:r>
      <w:r>
        <w:rPr>
          <w:rFonts w:cs="Times New Roman"/>
          <w:b/>
          <w:bCs/>
          <w:szCs w:val="24"/>
        </w:rPr>
        <w:t xml:space="preserve">in partial fulfillment of the requirement for the award of the degree of Master of Science in Marketing and Public Relations at </w:t>
      </w:r>
      <w:r>
        <w:rPr>
          <w:rFonts w:cs="Times New Roman"/>
          <w:b/>
          <w:bCs/>
          <w:szCs w:val="24"/>
          <w:lang w:val="en-GB"/>
        </w:rPr>
        <w:t>Tanzania Institute of Accountancy.</w:t>
      </w:r>
    </w:p>
    <w:p>
      <w:pPr>
        <w:spacing w:before="0"/>
        <w:jc w:val="center"/>
        <w:rPr>
          <w:rFonts w:cs="Times New Roman"/>
          <w:b/>
          <w:bCs/>
          <w:szCs w:val="24"/>
        </w:rPr>
      </w:pPr>
      <w:r>
        <w:rPr>
          <w:rFonts w:cs="Times New Roman"/>
          <w:b/>
          <w:bCs/>
          <w:szCs w:val="24"/>
          <w:lang w:val="en-GB"/>
        </w:rPr>
        <w:t>2024</w:t>
      </w:r>
    </w:p>
    <w:p>
      <w:pPr>
        <w:spacing w:before="0"/>
        <w:jc w:val="center"/>
        <w:rPr>
          <w:rFonts w:cs="Times New Roman"/>
          <w:szCs w:val="24"/>
        </w:rPr>
        <w:sectPr>
          <w:footerReference r:id="rId5" w:type="default"/>
          <w:pgSz w:w="11906" w:h="16838"/>
          <w:pgMar w:top="1417" w:right="1417" w:bottom="1417" w:left="2268" w:header="706" w:footer="706" w:gutter="0"/>
          <w:pgBorders w:display="firstPage">
            <w:top w:val="thickThinSmallGap" w:color="auto" w:sz="24" w:space="1"/>
            <w:left w:val="thickThinSmallGap" w:color="auto" w:sz="24" w:space="4"/>
            <w:bottom w:val="thickThinSmallGap" w:color="auto" w:sz="24" w:space="1"/>
            <w:right w:val="thickThinSmallGap" w:color="auto" w:sz="24" w:space="4"/>
          </w:pgBorders>
          <w:pgNumType w:fmt="upperRoman"/>
          <w:cols w:space="0" w:num="1"/>
          <w:docGrid w:linePitch="360" w:charSpace="0"/>
        </w:sectPr>
      </w:pPr>
    </w:p>
    <w:p>
      <w:pPr>
        <w:spacing w:before="0" w:after="0"/>
        <w:jc w:val="center"/>
        <w:rPr>
          <w:rFonts w:cs="Times New Roman"/>
          <w:b/>
          <w:szCs w:val="24"/>
        </w:rPr>
      </w:pPr>
      <w:r>
        <w:rPr>
          <w:rFonts w:cs="Times New Roman"/>
          <w:b/>
          <w:szCs w:val="24"/>
        </w:rPr>
        <w:t xml:space="preserve">THE EFFECT OF MERGERS AND ACQUISITIONS IN ENHANCING WELFARE OF PUBLIC SERVANTS IN TANZANIA: </w:t>
      </w:r>
    </w:p>
    <w:p>
      <w:pPr>
        <w:spacing w:before="0"/>
        <w:jc w:val="center"/>
        <w:rPr>
          <w:rFonts w:cs="Times New Roman"/>
          <w:b/>
          <w:szCs w:val="24"/>
        </w:rPr>
      </w:pPr>
      <w:r>
        <w:rPr>
          <w:rFonts w:cs="Times New Roman"/>
          <w:b/>
          <w:szCs w:val="24"/>
        </w:rPr>
        <w:t>A CASE OF TANZANIA PUBLIC SERVICE SOCIAL SECURITY FUND (PSSSF), DAR ES SALAAM</w:t>
      </w:r>
    </w:p>
    <w:p>
      <w:pPr>
        <w:spacing w:before="0"/>
        <w:jc w:val="center"/>
        <w:rPr>
          <w:rFonts w:cs="Times New Roman"/>
          <w:b/>
          <w:szCs w:val="24"/>
        </w:rPr>
      </w:pPr>
    </w:p>
    <w:p>
      <w:pPr>
        <w:spacing w:before="0"/>
        <w:jc w:val="center"/>
        <w:rPr>
          <w:rFonts w:cs="Times New Roman"/>
          <w:b/>
          <w:szCs w:val="24"/>
        </w:rPr>
      </w:pPr>
    </w:p>
    <w:p>
      <w:pPr>
        <w:spacing w:before="0"/>
        <w:jc w:val="center"/>
        <w:rPr>
          <w:rFonts w:cs="Times New Roman"/>
          <w:b/>
          <w:szCs w:val="24"/>
        </w:rPr>
      </w:pPr>
    </w:p>
    <w:p>
      <w:pPr>
        <w:spacing w:before="0"/>
        <w:jc w:val="center"/>
        <w:rPr>
          <w:rFonts w:cs="Times New Roman"/>
          <w:b/>
          <w:szCs w:val="24"/>
        </w:rPr>
      </w:pPr>
    </w:p>
    <w:p>
      <w:pPr>
        <w:spacing w:before="0"/>
        <w:jc w:val="center"/>
        <w:rPr>
          <w:rFonts w:cs="Times New Roman"/>
          <w:b/>
          <w:szCs w:val="24"/>
        </w:rPr>
      </w:pPr>
      <w:r>
        <w:rPr>
          <w:rFonts w:cs="Times New Roman"/>
          <w:b/>
          <w:szCs w:val="24"/>
        </w:rPr>
        <w:t>Florence Kidola Makani</w:t>
      </w:r>
    </w:p>
    <w:p>
      <w:pPr>
        <w:spacing w:before="0"/>
        <w:jc w:val="center"/>
        <w:rPr>
          <w:rFonts w:cs="Times New Roman"/>
          <w:szCs w:val="24"/>
        </w:rPr>
      </w:pPr>
    </w:p>
    <w:p>
      <w:pPr>
        <w:spacing w:before="0"/>
        <w:jc w:val="center"/>
        <w:rPr>
          <w:rFonts w:cs="Times New Roman"/>
          <w:szCs w:val="24"/>
        </w:rPr>
      </w:pPr>
    </w:p>
    <w:p>
      <w:pPr>
        <w:spacing w:before="0"/>
        <w:jc w:val="center"/>
        <w:rPr>
          <w:rFonts w:cs="Times New Roman"/>
          <w:szCs w:val="24"/>
        </w:rPr>
      </w:pPr>
    </w:p>
    <w:p>
      <w:pPr>
        <w:spacing w:before="0"/>
        <w:jc w:val="center"/>
        <w:rPr>
          <w:rFonts w:cs="Times New Roman"/>
          <w:szCs w:val="24"/>
        </w:rPr>
      </w:pPr>
    </w:p>
    <w:p>
      <w:pPr>
        <w:spacing w:before="0"/>
        <w:jc w:val="center"/>
        <w:rPr>
          <w:rFonts w:cs="Times New Roman"/>
          <w:szCs w:val="24"/>
        </w:rPr>
      </w:pPr>
    </w:p>
    <w:p>
      <w:pPr>
        <w:spacing w:before="0"/>
        <w:jc w:val="center"/>
        <w:rPr>
          <w:rFonts w:cs="Times New Roman"/>
          <w:szCs w:val="24"/>
        </w:rPr>
      </w:pPr>
    </w:p>
    <w:p>
      <w:pPr>
        <w:spacing w:before="0"/>
        <w:jc w:val="center"/>
        <w:rPr>
          <w:rFonts w:cs="Times New Roman"/>
          <w:szCs w:val="24"/>
        </w:rPr>
      </w:pPr>
    </w:p>
    <w:p>
      <w:pPr>
        <w:spacing w:before="0"/>
        <w:jc w:val="center"/>
        <w:rPr>
          <w:rFonts w:cs="Times New Roman"/>
          <w:szCs w:val="24"/>
        </w:rPr>
      </w:pPr>
    </w:p>
    <w:p>
      <w:pPr>
        <w:spacing w:before="0"/>
        <w:jc w:val="center"/>
        <w:rPr>
          <w:rFonts w:cs="Times New Roman"/>
          <w:szCs w:val="24"/>
        </w:rPr>
      </w:pPr>
    </w:p>
    <w:p>
      <w:pPr>
        <w:spacing w:before="0"/>
        <w:jc w:val="center"/>
        <w:rPr>
          <w:rFonts w:cs="Times New Roman"/>
          <w:szCs w:val="24"/>
        </w:rPr>
      </w:pPr>
    </w:p>
    <w:p>
      <w:pPr>
        <w:spacing w:before="0"/>
        <w:jc w:val="center"/>
        <w:rPr>
          <w:rFonts w:cs="Times New Roman"/>
          <w:b/>
          <w:bCs/>
          <w:szCs w:val="24"/>
          <w:lang w:val="en-GB"/>
        </w:rPr>
      </w:pPr>
      <w:r>
        <w:rPr>
          <w:rFonts w:cs="Times New Roman"/>
          <w:b/>
          <w:bCs/>
          <w:szCs w:val="24"/>
        </w:rPr>
        <w:t xml:space="preserve">A </w:t>
      </w:r>
      <w:r>
        <w:rPr>
          <w:rFonts w:cs="Times New Roman"/>
          <w:b/>
          <w:bCs/>
          <w:szCs w:val="24"/>
          <w:lang w:val="en-GB"/>
        </w:rPr>
        <w:t xml:space="preserve">research proposal </w:t>
      </w:r>
      <w:r>
        <w:rPr>
          <w:rFonts w:cs="Times New Roman"/>
          <w:b/>
          <w:bCs/>
          <w:szCs w:val="24"/>
        </w:rPr>
        <w:t xml:space="preserve">submitted to the Department of </w:t>
      </w:r>
      <w:r>
        <w:rPr>
          <w:rFonts w:cs="Times New Roman"/>
          <w:b/>
          <w:bCs/>
          <w:szCs w:val="24"/>
          <w:lang w:val="en-GB"/>
        </w:rPr>
        <w:t xml:space="preserve">Management Studies </w:t>
      </w:r>
      <w:r>
        <w:rPr>
          <w:rFonts w:cs="Times New Roman"/>
          <w:b/>
          <w:bCs/>
          <w:szCs w:val="24"/>
        </w:rPr>
        <w:t xml:space="preserve">in partial fulfillment of the requirement for the award of the degree of Master of Science in Marketing and Public Relations at </w:t>
      </w:r>
      <w:r>
        <w:rPr>
          <w:rFonts w:cs="Times New Roman"/>
          <w:b/>
          <w:bCs/>
          <w:szCs w:val="24"/>
          <w:lang w:val="en-GB"/>
        </w:rPr>
        <w:t>Tanzania Institute of Accountancy.</w:t>
      </w:r>
    </w:p>
    <w:p>
      <w:pPr>
        <w:spacing w:before="0"/>
        <w:jc w:val="center"/>
        <w:rPr>
          <w:rFonts w:cs="Times New Roman"/>
          <w:b/>
          <w:bCs/>
          <w:szCs w:val="24"/>
        </w:rPr>
      </w:pPr>
      <w:r>
        <w:rPr>
          <w:rFonts w:cs="Times New Roman"/>
          <w:b/>
          <w:bCs/>
          <w:szCs w:val="24"/>
          <w:lang w:val="en-GB"/>
        </w:rPr>
        <w:t>2024</w:t>
      </w:r>
    </w:p>
    <w:p>
      <w:pPr>
        <w:spacing w:before="0"/>
        <w:jc w:val="left"/>
        <w:rPr>
          <w:rFonts w:cs="Times New Roman"/>
          <w:b/>
          <w:bCs/>
          <w:szCs w:val="24"/>
        </w:rPr>
        <w:sectPr>
          <w:footerReference r:id="rId6" w:type="default"/>
          <w:pgSz w:w="11906" w:h="16838"/>
          <w:pgMar w:top="2268" w:right="1418" w:bottom="1418" w:left="2268" w:header="709" w:footer="709" w:gutter="0"/>
          <w:pgNumType w:fmt="lowerRoman" w:start="1"/>
          <w:cols w:space="708" w:num="1"/>
          <w:docGrid w:linePitch="360" w:charSpace="0"/>
        </w:sectPr>
      </w:pPr>
    </w:p>
    <w:p>
      <w:pPr>
        <w:pStyle w:val="2"/>
        <w:spacing w:before="0"/>
        <w:rPr>
          <w:rFonts w:cs="Times New Roman"/>
          <w:bCs/>
          <w:szCs w:val="24"/>
          <w:lang w:eastAsia="ja-JP"/>
        </w:rPr>
      </w:pPr>
      <w:bookmarkStart w:id="0" w:name="_Toc178608248"/>
      <w:bookmarkStart w:id="1" w:name="_Toc7033"/>
      <w:bookmarkStart w:id="2" w:name="_Toc30711"/>
      <w:bookmarkStart w:id="3" w:name="_Toc18910"/>
      <w:bookmarkStart w:id="4" w:name="_Toc17102"/>
      <w:bookmarkStart w:id="5" w:name="_Toc180438825"/>
      <w:r>
        <w:rPr>
          <w:rFonts w:eastAsia="Times New Roman" w:cs="Times New Roman"/>
          <w:bCs/>
          <w:szCs w:val="24"/>
          <w:lang w:eastAsia="ja-JP"/>
        </w:rPr>
        <w:t>CERTIFICATION</w:t>
      </w:r>
      <w:bookmarkEnd w:id="0"/>
      <w:bookmarkEnd w:id="1"/>
    </w:p>
    <w:p>
      <w:pPr>
        <w:spacing w:before="0" w:after="0"/>
        <w:rPr>
          <w:rFonts w:cs="Times New Roman"/>
          <w:szCs w:val="24"/>
          <w:lang w:val="en-GB"/>
        </w:rPr>
      </w:pPr>
      <w:r>
        <w:rPr>
          <w:rFonts w:cs="Times New Roman"/>
          <w:szCs w:val="24"/>
        </w:rPr>
        <w:t xml:space="preserve">The undersigned certifies that he has read the research </w:t>
      </w:r>
      <w:r>
        <w:rPr>
          <w:rFonts w:cs="Times New Roman"/>
          <w:szCs w:val="24"/>
          <w:lang w:val="en-US"/>
        </w:rPr>
        <w:t>dissertation</w:t>
      </w:r>
      <w:r>
        <w:rPr>
          <w:rFonts w:cs="Times New Roman"/>
          <w:szCs w:val="24"/>
        </w:rPr>
        <w:t xml:space="preserve"> and is satisfied that this is the original work of Florence Kidola Makani Titled “</w:t>
      </w:r>
      <w:r>
        <w:rPr>
          <w:rFonts w:cs="Times New Roman"/>
          <w:b/>
          <w:szCs w:val="24"/>
        </w:rPr>
        <w:t>The Effect of Mergers and Acquisitions in Enhancing Welfare of Public Servants in Tanzania: A Case of Tanzania Public Service Social Security Fund (PSSSF), Dar Es Salaam</w:t>
      </w:r>
      <w:r>
        <w:rPr>
          <w:rFonts w:cs="Times New Roman"/>
          <w:szCs w:val="24"/>
        </w:rPr>
        <w:t>”</w:t>
      </w:r>
      <w:r>
        <w:rPr>
          <w:rFonts w:cs="Times New Roman"/>
          <w:b/>
          <w:bCs/>
          <w:kern w:val="2"/>
          <w:szCs w:val="24"/>
          <w14:ligatures w14:val="standardContextual"/>
        </w:rPr>
        <w:t xml:space="preserve"> </w:t>
      </w:r>
      <w:r>
        <w:rPr>
          <w:rFonts w:cs="Times New Roman"/>
          <w:szCs w:val="24"/>
        </w:rPr>
        <w:t xml:space="preserve">for the partial fulfillment of the requirements for the award of Marketing and Public Relations at </w:t>
      </w:r>
      <w:r>
        <w:rPr>
          <w:rFonts w:cs="Times New Roman"/>
          <w:szCs w:val="24"/>
          <w:lang w:val="en-GB"/>
        </w:rPr>
        <w:t>Tanzania Institute of Accountancy.</w:t>
      </w:r>
    </w:p>
    <w:p>
      <w:pPr>
        <w:spacing w:before="0" w:after="0"/>
        <w:rPr>
          <w:rFonts w:cs="Times New Roman"/>
          <w:szCs w:val="24"/>
          <w:lang w:val="en-GB"/>
        </w:rPr>
      </w:pPr>
    </w:p>
    <w:p>
      <w:pPr>
        <w:tabs>
          <w:tab w:val="center" w:pos="4680"/>
          <w:tab w:val="left" w:pos="7602"/>
        </w:tabs>
        <w:spacing w:before="240" w:after="0"/>
        <w:jc w:val="center"/>
        <w:rPr>
          <w:rFonts w:cs="Times New Roman"/>
          <w:szCs w:val="24"/>
        </w:rPr>
      </w:pPr>
      <w:r>
        <w:rPr>
          <w:rFonts w:cs="Times New Roman"/>
          <w:szCs w:val="24"/>
        </w:rPr>
        <w:t>………………………………………</w:t>
      </w:r>
    </w:p>
    <w:p>
      <w:pPr>
        <w:spacing w:before="0" w:after="0"/>
        <w:jc w:val="center"/>
        <w:rPr>
          <w:rFonts w:cs="Times New Roman"/>
          <w:bCs/>
          <w:szCs w:val="24"/>
        </w:rPr>
      </w:pPr>
      <w:r>
        <w:rPr>
          <w:rFonts w:cs="Times New Roman"/>
          <w:bCs/>
          <w:szCs w:val="24"/>
        </w:rPr>
        <w:t>Dr. James Mrema</w:t>
      </w:r>
    </w:p>
    <w:p>
      <w:pPr>
        <w:spacing w:before="240" w:after="0"/>
        <w:jc w:val="center"/>
        <w:rPr>
          <w:rFonts w:cs="Times New Roman"/>
          <w:szCs w:val="24"/>
        </w:rPr>
      </w:pPr>
      <w:r>
        <w:rPr>
          <w:rFonts w:cs="Times New Roman"/>
          <w:szCs w:val="24"/>
        </w:rPr>
        <w:t>(Supervisor)</w:t>
      </w:r>
    </w:p>
    <w:p>
      <w:pPr>
        <w:spacing w:before="240" w:after="0"/>
        <w:ind w:firstLine="720"/>
        <w:jc w:val="center"/>
        <w:rPr>
          <w:rFonts w:cs="Times New Roman"/>
          <w:szCs w:val="24"/>
        </w:rPr>
      </w:pPr>
    </w:p>
    <w:p>
      <w:pPr>
        <w:spacing w:before="240" w:after="0"/>
        <w:jc w:val="center"/>
        <w:rPr>
          <w:rFonts w:cs="Times New Roman"/>
          <w:szCs w:val="24"/>
        </w:rPr>
      </w:pPr>
      <w:r>
        <w:rPr>
          <w:rFonts w:cs="Times New Roman"/>
          <w:szCs w:val="24"/>
        </w:rPr>
        <w:t>………………….………</w:t>
      </w:r>
    </w:p>
    <w:p>
      <w:pPr>
        <w:spacing w:before="240" w:after="0"/>
        <w:jc w:val="center"/>
        <w:rPr>
          <w:rFonts w:cs="Times New Roman"/>
          <w:szCs w:val="24"/>
        </w:rPr>
      </w:pPr>
      <w:r>
        <w:rPr>
          <w:rFonts w:cs="Times New Roman"/>
          <w:szCs w:val="24"/>
        </w:rPr>
        <w:t>Date</w:t>
      </w:r>
    </w:p>
    <w:p>
      <w:pPr>
        <w:pStyle w:val="2"/>
        <w:rPr>
          <w:lang w:val="en-GB"/>
        </w:rPr>
      </w:pPr>
    </w:p>
    <w:p>
      <w:pPr>
        <w:rPr>
          <w:lang w:val="en-GB"/>
        </w:rPr>
      </w:pPr>
    </w:p>
    <w:p>
      <w:pPr>
        <w:rPr>
          <w:lang w:val="en-GB"/>
        </w:rPr>
      </w:pPr>
    </w:p>
    <w:p>
      <w:pPr>
        <w:rPr>
          <w:lang w:val="en-GB"/>
        </w:rPr>
      </w:pPr>
    </w:p>
    <w:p>
      <w:pPr>
        <w:rPr>
          <w:lang w:val="en-GB"/>
        </w:rPr>
      </w:pPr>
    </w:p>
    <w:p>
      <w:pPr>
        <w:pStyle w:val="2"/>
        <w:rPr>
          <w:lang w:val="en-GB"/>
        </w:rPr>
      </w:pPr>
    </w:p>
    <w:p>
      <w:pPr>
        <w:pStyle w:val="2"/>
        <w:rPr>
          <w:lang w:val="en-GB"/>
        </w:rPr>
      </w:pPr>
    </w:p>
    <w:p>
      <w:pPr>
        <w:pStyle w:val="2"/>
        <w:rPr>
          <w:lang w:val="en-GB"/>
        </w:rPr>
      </w:pPr>
    </w:p>
    <w:p>
      <w:pPr>
        <w:rPr>
          <w:lang w:val="en-GB"/>
        </w:rPr>
      </w:pPr>
    </w:p>
    <w:p>
      <w:pPr>
        <w:rPr>
          <w:lang w:val="en-GB"/>
        </w:rPr>
      </w:pPr>
    </w:p>
    <w:p>
      <w:pPr>
        <w:pStyle w:val="2"/>
        <w:rPr>
          <w:lang w:val="en-GB"/>
        </w:rPr>
      </w:pPr>
      <w:bookmarkStart w:id="6" w:name="_Toc20583"/>
      <w:r>
        <w:rPr>
          <w:lang w:val="en-GB"/>
        </w:rPr>
        <w:t>DECLARATION</w:t>
      </w:r>
      <w:bookmarkEnd w:id="2"/>
      <w:bookmarkEnd w:id="3"/>
      <w:bookmarkEnd w:id="4"/>
      <w:bookmarkEnd w:id="5"/>
      <w:bookmarkEnd w:id="6"/>
    </w:p>
    <w:p>
      <w:pPr>
        <w:spacing w:before="0" w:after="0" w:line="276" w:lineRule="auto"/>
        <w:rPr>
          <w:rFonts w:cs="Times New Roman"/>
          <w:szCs w:val="24"/>
        </w:rPr>
      </w:pPr>
    </w:p>
    <w:p>
      <w:pPr>
        <w:spacing w:before="0"/>
        <w:rPr>
          <w:rFonts w:cs="Times New Roman"/>
          <w:szCs w:val="24"/>
        </w:rPr>
      </w:pPr>
      <w:r>
        <w:rPr>
          <w:rFonts w:cs="Times New Roman"/>
          <w:szCs w:val="24"/>
        </w:rPr>
        <w:t xml:space="preserve">I, </w:t>
      </w:r>
      <w:r>
        <w:rPr>
          <w:rFonts w:cs="Times New Roman"/>
          <w:b/>
          <w:szCs w:val="24"/>
        </w:rPr>
        <w:t>Florence Kidola Makani</w:t>
      </w:r>
      <w:r>
        <w:rPr>
          <w:rFonts w:cs="Times New Roman"/>
          <w:szCs w:val="24"/>
          <w:lang w:eastAsia="en-GB"/>
        </w:rPr>
        <w:t>,</w:t>
      </w:r>
      <w:r>
        <w:rPr>
          <w:rFonts w:cs="Times New Roman"/>
          <w:b/>
          <w:kern w:val="2"/>
          <w:szCs w:val="24"/>
          <w14:ligatures w14:val="standardContextual"/>
        </w:rPr>
        <w:t xml:space="preserve"> </w:t>
      </w:r>
      <w:r>
        <w:rPr>
          <w:rFonts w:cs="Times New Roman"/>
          <w:szCs w:val="24"/>
        </w:rPr>
        <w:t xml:space="preserve">declare that this research proposal is my original work and has not been presented anywhere or </w:t>
      </w:r>
      <w:r>
        <w:rPr>
          <w:rFonts w:cs="Times New Roman"/>
          <w:szCs w:val="24"/>
          <w:lang w:val="en-US"/>
        </w:rPr>
        <w:t xml:space="preserve">was  </w:t>
      </w:r>
      <w:r>
        <w:rPr>
          <w:rFonts w:cs="Times New Roman"/>
          <w:szCs w:val="24"/>
        </w:rPr>
        <w:t xml:space="preserve"> not be presented to any other institution for any award. </w:t>
      </w:r>
    </w:p>
    <w:p>
      <w:pPr>
        <w:spacing w:before="240" w:after="0"/>
        <w:rPr>
          <w:rFonts w:cs="Times New Roman"/>
          <w:szCs w:val="24"/>
        </w:rPr>
      </w:pPr>
    </w:p>
    <w:p>
      <w:pPr>
        <w:spacing w:before="240" w:after="0"/>
        <w:jc w:val="center"/>
        <w:rPr>
          <w:rFonts w:cs="Times New Roman"/>
          <w:szCs w:val="24"/>
        </w:rPr>
      </w:pPr>
      <w:r>
        <w:rPr>
          <w:rFonts w:cs="Times New Roman"/>
          <w:szCs w:val="24"/>
        </w:rPr>
        <w:t>……………………………………</w:t>
      </w:r>
    </w:p>
    <w:p>
      <w:pPr>
        <w:spacing w:before="240" w:after="0"/>
        <w:jc w:val="center"/>
        <w:rPr>
          <w:rFonts w:cs="Times New Roman"/>
          <w:szCs w:val="24"/>
        </w:rPr>
      </w:pPr>
      <w:r>
        <w:rPr>
          <w:rFonts w:cs="Times New Roman"/>
          <w:szCs w:val="24"/>
        </w:rPr>
        <w:t>(student)</w:t>
      </w:r>
    </w:p>
    <w:p>
      <w:pPr>
        <w:spacing w:before="240" w:after="0"/>
        <w:jc w:val="center"/>
        <w:rPr>
          <w:rFonts w:cs="Times New Roman"/>
          <w:szCs w:val="24"/>
        </w:rPr>
      </w:pPr>
      <w:r>
        <w:rPr>
          <w:rFonts w:cs="Times New Roman"/>
          <w:szCs w:val="24"/>
        </w:rPr>
        <w:t>Signature</w:t>
      </w:r>
    </w:p>
    <w:p>
      <w:pPr>
        <w:spacing w:before="240" w:after="0"/>
        <w:jc w:val="center"/>
        <w:rPr>
          <w:rFonts w:cs="Times New Roman"/>
          <w:szCs w:val="24"/>
        </w:rPr>
      </w:pPr>
    </w:p>
    <w:p>
      <w:pPr>
        <w:spacing w:before="240" w:after="0"/>
        <w:jc w:val="center"/>
        <w:rPr>
          <w:rFonts w:cs="Times New Roman"/>
          <w:szCs w:val="24"/>
        </w:rPr>
      </w:pPr>
      <w:r>
        <w:rPr>
          <w:rFonts w:cs="Times New Roman"/>
          <w:szCs w:val="24"/>
        </w:rPr>
        <w:t>…………………………………</w:t>
      </w:r>
    </w:p>
    <w:p>
      <w:pPr>
        <w:spacing w:before="240" w:after="0"/>
        <w:jc w:val="center"/>
        <w:rPr>
          <w:rFonts w:cs="Times New Roman"/>
          <w:szCs w:val="24"/>
        </w:rPr>
      </w:pPr>
      <w:r>
        <w:rPr>
          <w:rFonts w:cs="Times New Roman"/>
          <w:szCs w:val="24"/>
        </w:rPr>
        <w:t>Date</w:t>
      </w:r>
    </w:p>
    <w:p>
      <w:pPr>
        <w:spacing w:before="240" w:after="0"/>
        <w:rPr>
          <w:rFonts w:eastAsia="Times New Roman" w:cs="Times New Roman"/>
          <w:b/>
          <w:bCs/>
          <w:szCs w:val="24"/>
        </w:rPr>
      </w:pPr>
    </w:p>
    <w:p>
      <w:pPr>
        <w:spacing w:before="0"/>
        <w:jc w:val="left"/>
        <w:rPr>
          <w:rFonts w:cs="Times New Roman"/>
          <w:szCs w:val="24"/>
        </w:rPr>
      </w:pPr>
    </w:p>
    <w:p>
      <w:pPr>
        <w:spacing w:before="0"/>
        <w:jc w:val="left"/>
        <w:rPr>
          <w:rFonts w:cs="Times New Roman"/>
          <w:szCs w:val="24"/>
        </w:rPr>
      </w:pPr>
    </w:p>
    <w:p>
      <w:pPr>
        <w:spacing w:before="0"/>
        <w:jc w:val="left"/>
        <w:rPr>
          <w:rFonts w:cs="Times New Roman"/>
          <w:szCs w:val="24"/>
        </w:rPr>
      </w:pPr>
    </w:p>
    <w:p>
      <w:pPr>
        <w:spacing w:before="0"/>
        <w:jc w:val="left"/>
        <w:rPr>
          <w:rFonts w:cs="Times New Roman"/>
          <w:szCs w:val="24"/>
        </w:rPr>
      </w:pPr>
    </w:p>
    <w:p>
      <w:pPr>
        <w:spacing w:before="0"/>
        <w:jc w:val="left"/>
        <w:rPr>
          <w:rFonts w:cs="Times New Roman"/>
          <w:szCs w:val="24"/>
        </w:rPr>
      </w:pPr>
    </w:p>
    <w:p>
      <w:pPr>
        <w:spacing w:before="0"/>
        <w:jc w:val="left"/>
        <w:rPr>
          <w:rFonts w:cs="Times New Roman"/>
          <w:szCs w:val="24"/>
        </w:rPr>
      </w:pPr>
    </w:p>
    <w:p>
      <w:pPr>
        <w:spacing w:before="0"/>
        <w:jc w:val="left"/>
        <w:rPr>
          <w:rFonts w:cs="Times New Roman"/>
          <w:szCs w:val="24"/>
        </w:rPr>
      </w:pPr>
    </w:p>
    <w:p>
      <w:pPr>
        <w:spacing w:before="0"/>
        <w:jc w:val="left"/>
        <w:rPr>
          <w:rFonts w:cs="Times New Roman"/>
          <w:szCs w:val="24"/>
        </w:rPr>
      </w:pPr>
    </w:p>
    <w:p>
      <w:pPr>
        <w:spacing w:before="0"/>
        <w:jc w:val="left"/>
        <w:rPr>
          <w:rFonts w:cs="Times New Roman"/>
          <w:szCs w:val="24"/>
        </w:rPr>
      </w:pPr>
    </w:p>
    <w:p>
      <w:pPr>
        <w:spacing w:before="0"/>
        <w:jc w:val="left"/>
        <w:rPr>
          <w:rFonts w:cs="Times New Roman"/>
          <w:szCs w:val="24"/>
        </w:rPr>
      </w:pPr>
    </w:p>
    <w:p>
      <w:pPr>
        <w:spacing w:before="0"/>
        <w:jc w:val="left"/>
        <w:rPr>
          <w:rFonts w:cs="Times New Roman"/>
          <w:szCs w:val="24"/>
        </w:rPr>
        <w:sectPr>
          <w:footerReference r:id="rId7" w:type="default"/>
          <w:pgSz w:w="12240" w:h="15840"/>
          <w:pgMar w:top="1440" w:right="1800" w:bottom="1440" w:left="1800" w:header="720" w:footer="720" w:gutter="0"/>
          <w:pgNumType w:fmt="lowerRoman"/>
          <w:cols w:space="720" w:num="1"/>
          <w:docGrid w:linePitch="360" w:charSpace="0"/>
        </w:sectPr>
      </w:pPr>
    </w:p>
    <w:p>
      <w:pPr>
        <w:keepNext/>
        <w:keepLines/>
        <w:spacing w:after="0"/>
        <w:jc w:val="center"/>
        <w:outlineLvl w:val="0"/>
        <w:rPr>
          <w:rFonts w:eastAsia="DengXian Light" w:cs="Times New Roman"/>
          <w:b/>
          <w:bCs/>
          <w:szCs w:val="24"/>
          <w:lang w:eastAsia="ja-JP"/>
        </w:rPr>
      </w:pPr>
      <w:bookmarkStart w:id="7" w:name="_Toc158298741"/>
      <w:bookmarkStart w:id="8" w:name="_Toc20043"/>
      <w:bookmarkStart w:id="9" w:name="_Toc178608250"/>
      <w:r>
        <w:rPr>
          <w:rFonts w:eastAsia="DengXian Light" w:cs="Times New Roman"/>
          <w:b/>
          <w:bCs/>
          <w:szCs w:val="24"/>
          <w:lang w:eastAsia="ja-JP"/>
        </w:rPr>
        <w:t>COPYRIGHT</w:t>
      </w:r>
      <w:bookmarkEnd w:id="7"/>
      <w:bookmarkEnd w:id="8"/>
      <w:bookmarkEnd w:id="9"/>
    </w:p>
    <w:p>
      <w:pPr>
        <w:spacing w:after="0"/>
        <w:rPr>
          <w:rFonts w:cs="Times New Roman"/>
          <w:szCs w:val="24"/>
        </w:rPr>
      </w:pPr>
      <w:r>
        <w:rPr>
          <w:rFonts w:cs="Times New Roman"/>
          <w:szCs w:val="24"/>
        </w:rPr>
        <w:t>This research report is copyright material protected on intellectual property under the Berne Convention, the Copyright Act 1999, the Neighboring Rights Act [Cap218 R.E.2002], and other International and national enactments on that behalf. It may not be reproduced by any means in whole or part, except for short extracts in fair dealings, for research or private study, critical scholarly review, or discourse with an acknowledgment, without the written permission of the Tanzania Institute of Accountancy (TIA), on behalf of the author.</w:t>
      </w:r>
    </w:p>
    <w:p>
      <w:pPr>
        <w:spacing w:before="240" w:after="0"/>
        <w:jc w:val="center"/>
        <w:rPr>
          <w:rFonts w:cs="Times New Roman"/>
          <w:b/>
          <w:szCs w:val="24"/>
          <w:lang w:eastAsia="ja-JP"/>
        </w:rPr>
      </w:pPr>
    </w:p>
    <w:p>
      <w:pPr>
        <w:spacing w:before="0"/>
        <w:jc w:val="left"/>
        <w:rPr>
          <w:rFonts w:cs="Times New Roman"/>
          <w:szCs w:val="24"/>
        </w:rPr>
        <w:sectPr>
          <w:pgSz w:w="12240" w:h="15840"/>
          <w:pgMar w:top="1440" w:right="1800" w:bottom="1440" w:left="1800" w:header="720" w:footer="720" w:gutter="0"/>
          <w:pgNumType w:fmt="lowerRoman"/>
          <w:cols w:space="720" w:num="1"/>
          <w:docGrid w:linePitch="360" w:charSpace="0"/>
        </w:sectPr>
      </w:pPr>
    </w:p>
    <w:p>
      <w:pPr>
        <w:keepNext/>
        <w:keepLines/>
        <w:spacing w:after="0"/>
        <w:jc w:val="center"/>
        <w:outlineLvl w:val="0"/>
        <w:rPr>
          <w:rFonts w:eastAsia="SimSun" w:cs="Times New Roman"/>
          <w:b/>
          <w:bCs/>
          <w:szCs w:val="24"/>
          <w:lang w:eastAsia="ja-JP"/>
        </w:rPr>
      </w:pPr>
      <w:bookmarkStart w:id="10" w:name="_Toc158298743"/>
      <w:bookmarkStart w:id="11" w:name="_Toc178608252"/>
      <w:bookmarkStart w:id="12" w:name="_Toc1283"/>
      <w:r>
        <w:rPr>
          <w:rFonts w:eastAsia="SimSun" w:cs="Times New Roman"/>
          <w:b/>
          <w:bCs/>
          <w:szCs w:val="24"/>
          <w:lang w:eastAsia="ja-JP"/>
        </w:rPr>
        <w:t>DEDICATION</w:t>
      </w:r>
      <w:bookmarkEnd w:id="10"/>
      <w:bookmarkEnd w:id="11"/>
      <w:bookmarkEnd w:id="12"/>
    </w:p>
    <w:p>
      <w:pPr>
        <w:spacing w:after="0"/>
        <w:rPr>
          <w:rFonts w:cs="Times New Roman"/>
          <w:szCs w:val="24"/>
        </w:rPr>
      </w:pPr>
      <w:r>
        <w:rPr>
          <w:rFonts w:cs="Times New Roman"/>
          <w:szCs w:val="24"/>
        </w:rPr>
        <w:t>I would like to dedicate my work to my family. They instilled in me a desire to learn and made sacrifices so I would have access to high-quality education. It is also dedicated to my close friends who have always supported me throughout my years of studies.</w:t>
      </w:r>
    </w:p>
    <w:p>
      <w:pPr>
        <w:spacing w:before="0"/>
        <w:jc w:val="left"/>
        <w:rPr>
          <w:rFonts w:cs="Times New Roman"/>
          <w:szCs w:val="24"/>
        </w:rPr>
        <w:sectPr>
          <w:pgSz w:w="12240" w:h="15840"/>
          <w:pgMar w:top="1440" w:right="1800" w:bottom="1440" w:left="1800" w:header="720" w:footer="720" w:gutter="0"/>
          <w:pgNumType w:fmt="lowerRoman"/>
          <w:cols w:space="720" w:num="1"/>
          <w:docGrid w:linePitch="360" w:charSpace="0"/>
        </w:sectPr>
      </w:pPr>
    </w:p>
    <w:p>
      <w:pPr>
        <w:pStyle w:val="2"/>
        <w:rPr>
          <w:szCs w:val="24"/>
        </w:rPr>
      </w:pPr>
      <w:bookmarkStart w:id="13" w:name="_Toc149032970"/>
      <w:bookmarkStart w:id="14" w:name="_Toc144932268"/>
      <w:bookmarkStart w:id="15" w:name="_Toc11836"/>
      <w:bookmarkStart w:id="16" w:name="_Toc31842"/>
      <w:bookmarkStart w:id="17" w:name="_Toc21090"/>
      <w:bookmarkStart w:id="18" w:name="_Toc20151"/>
      <w:r>
        <w:rPr>
          <w:szCs w:val="24"/>
        </w:rPr>
        <w:t>A</w:t>
      </w:r>
      <w:bookmarkStart w:id="214" w:name="_GoBack"/>
      <w:bookmarkEnd w:id="214"/>
      <w:r>
        <w:rPr>
          <w:szCs w:val="24"/>
        </w:rPr>
        <w:t>CKNOWLEDGEMENTS</w:t>
      </w:r>
      <w:bookmarkEnd w:id="13"/>
      <w:bookmarkEnd w:id="14"/>
      <w:bookmarkEnd w:id="15"/>
      <w:bookmarkEnd w:id="16"/>
      <w:bookmarkEnd w:id="17"/>
      <w:bookmarkEnd w:id="18"/>
    </w:p>
    <w:p>
      <w:r>
        <w:t>The Public Service Social Security Fund (PSSSF) was created in Tanzania to streamline and strengthen social security benefits for public servants by merging several existing pension funds. This consolidation aimed to enhance operational efficiency, improve service quality, and secure the fund's sustainability. The organizational changes, however, led to varied perceptions among public servants regarding the PSSSF’s performance and effectiveness post-merger. This study examined public servants' perceptions of changes in welfare benefits, assesses shifts in service delivery and administrative efficiency, and identifies key factors that impact the effectiveness of the PSSSF since the merger. Utilizing a mixed-methods approach, quantitative surveys were administered to public servants to capture their satisfaction levels with welfare benefits and services. Qualitative interviews were also conducted with key informants, including PSSSF officials and government representatives, to gain a comprehensive understanding of the fund's management and benefit delivery. Data were analyzed through descriptive statistics and thematic analysis to draw meaningful insights.</w:t>
      </w:r>
    </w:p>
    <w:p>
      <w:r>
        <w:t>The results indicate a largely favorable perception of the PSSSF, with 62.0% of respondents expressing satisfaction with welfare benefits. Furthermore, 60.5% felt that the merger positively impacted welfare benefits, particularly for retirement and health coverage, which were highly valued. Nonet</w:t>
      </w:r>
      <w:r>
        <w:rPr>
          <w:rFonts w:hint="default"/>
          <w:lang w:val="en-US"/>
        </w:rPr>
        <w:t>5`</w:t>
      </w:r>
      <w:r>
        <w:t>heless, 18.0% of respondents reported dissatisfaction, especially in communication and benefit quality. Improvements in service delivery and administrative efficiency were also noted, with respondents citing better speed, quality, and customer support. However, challenges such as limited accessibility to services and occasional digital service issues persist. The study also identified governance, financial management, stakeholder engagement, and communication strategies as critical factors influencing the PSSSF’s effectiveness.</w:t>
      </w:r>
    </w:p>
    <w:p>
      <w:r>
        <w:t xml:space="preserve">The study concludes that while PSSSF has made progress in transparency and stabilizing benefits, lingering administrative inefficiencies and gaps in communication still affect overall service satisfaction. Recommendations for the PSSSF include investing in digital infrastructure to streamline processes, increasing member education on benefits, and optimizing workflows to reduce delays. </w:t>
      </w:r>
    </w:p>
    <w:p>
      <w:pPr>
        <w:spacing w:before="0"/>
        <w:jc w:val="left"/>
        <w:rPr>
          <w:rFonts w:cs="Times New Roman"/>
          <w:szCs w:val="24"/>
        </w:rPr>
      </w:pPr>
    </w:p>
    <w:p>
      <w:pPr>
        <w:pStyle w:val="2"/>
        <w:rPr>
          <w:lang w:val="en-GB"/>
        </w:rPr>
      </w:pPr>
      <w:bookmarkStart w:id="19" w:name="_Toc434"/>
      <w:bookmarkStart w:id="20" w:name="_Toc32162"/>
      <w:bookmarkStart w:id="21" w:name="_Toc180438826"/>
      <w:bookmarkStart w:id="22" w:name="_Toc20145"/>
      <w:r>
        <w:rPr>
          <w:lang w:val="en-GB"/>
        </w:rPr>
        <w:t>ABSTRACT</w:t>
      </w:r>
      <w:bookmarkEnd w:id="19"/>
      <w:bookmarkEnd w:id="20"/>
      <w:bookmarkEnd w:id="21"/>
      <w:bookmarkEnd w:id="22"/>
    </w:p>
    <w:p>
      <w:pPr>
        <w:spacing w:before="0"/>
        <w:rPr>
          <w:rFonts w:cs="Times New Roman"/>
          <w:szCs w:val="24"/>
        </w:rPr>
      </w:pPr>
      <w:r>
        <w:rPr>
          <w:rFonts w:cs="Times New Roman"/>
          <w:szCs w:val="24"/>
        </w:rPr>
        <w:t xml:space="preserve">The Public Service Social Security Fund (PSSSF) plays a vital role in providing welfare benefits to public servants in Tanzania. Following the mergers and acquisitions of various pension schemes, this study aims to explore public servants' perceptions of the changes in welfare benefits, assess the improvements or declines in service delivery and administrative efficiency, and identify factors influencing the effectiveness of the PSSSF post-merger. Using a mixed-methods approach, the research </w:t>
      </w:r>
      <w:r>
        <w:rPr>
          <w:rFonts w:cs="Times New Roman"/>
          <w:szCs w:val="24"/>
          <w:lang w:val="en-US"/>
        </w:rPr>
        <w:t xml:space="preserve">was  </w:t>
      </w:r>
      <w:r>
        <w:rPr>
          <w:rFonts w:cs="Times New Roman"/>
          <w:szCs w:val="24"/>
        </w:rPr>
        <w:t xml:space="preserve"> involve surveys of public servants to gauge satisfaction with welfare benefits and services, and interviews with key informants, including PSSSF officials and government representatives, to provide a deeper understanding of the merger's impact. The study is expected to identify key drivers of customer engagement, including communication strategies, perceived value, government collaboration, and employee engagement, while examining how trust moderates these relationships. Ultimately, the findings aim to offer insights for enhancing PSSSF's effectiveness and improving public servants' experiences with the pension system.</w:t>
      </w:r>
    </w:p>
    <w:p>
      <w:pPr>
        <w:spacing w:before="0"/>
        <w:rPr>
          <w:rFonts w:cs="Times New Roman"/>
          <w:szCs w:val="24"/>
        </w:rPr>
      </w:pPr>
    </w:p>
    <w:p>
      <w:pPr>
        <w:spacing w:before="0"/>
        <w:rPr>
          <w:rFonts w:cs="Times New Roman"/>
          <w:szCs w:val="24"/>
        </w:rPr>
      </w:pPr>
    </w:p>
    <w:p>
      <w:pPr>
        <w:spacing w:before="0"/>
        <w:rPr>
          <w:rFonts w:cs="Times New Roman"/>
          <w:szCs w:val="24"/>
        </w:rPr>
      </w:pPr>
    </w:p>
    <w:p>
      <w:pPr>
        <w:spacing w:before="0"/>
        <w:rPr>
          <w:rFonts w:cs="Times New Roman"/>
          <w:szCs w:val="24"/>
        </w:rPr>
      </w:pPr>
    </w:p>
    <w:p>
      <w:pPr>
        <w:spacing w:before="0"/>
        <w:rPr>
          <w:rFonts w:cs="Times New Roman"/>
          <w:szCs w:val="24"/>
        </w:rPr>
      </w:pPr>
    </w:p>
    <w:p>
      <w:pPr>
        <w:spacing w:before="0"/>
        <w:rPr>
          <w:rFonts w:cs="Times New Roman"/>
          <w:szCs w:val="24"/>
        </w:rPr>
      </w:pPr>
    </w:p>
    <w:p>
      <w:pPr>
        <w:spacing w:before="0"/>
        <w:rPr>
          <w:rFonts w:cs="Times New Roman"/>
          <w:szCs w:val="24"/>
        </w:rPr>
      </w:pPr>
    </w:p>
    <w:p>
      <w:pPr>
        <w:spacing w:before="0"/>
        <w:rPr>
          <w:rFonts w:cs="Times New Roman"/>
          <w:szCs w:val="24"/>
        </w:rPr>
      </w:pPr>
    </w:p>
    <w:p>
      <w:pPr>
        <w:spacing w:before="0"/>
        <w:rPr>
          <w:rFonts w:cs="Times New Roman"/>
          <w:szCs w:val="24"/>
        </w:rPr>
      </w:pPr>
    </w:p>
    <w:p>
      <w:pPr>
        <w:spacing w:before="0"/>
        <w:rPr>
          <w:rFonts w:cs="Times New Roman"/>
          <w:szCs w:val="24"/>
        </w:rPr>
      </w:pPr>
    </w:p>
    <w:p>
      <w:pPr>
        <w:spacing w:before="0"/>
        <w:rPr>
          <w:rFonts w:cs="Times New Roman"/>
          <w:szCs w:val="24"/>
        </w:rPr>
      </w:pPr>
    </w:p>
    <w:p>
      <w:pPr>
        <w:pStyle w:val="42"/>
        <w:spacing w:before="0" w:line="276" w:lineRule="auto"/>
        <w:jc w:val="center"/>
        <w:rPr>
          <w:rFonts w:ascii="Times New Roman" w:hAnsi="Times New Roman" w:cs="Times New Roman"/>
          <w:b/>
          <w:bCs/>
          <w:color w:val="auto"/>
          <w:sz w:val="24"/>
          <w:szCs w:val="24"/>
        </w:rPr>
      </w:pPr>
      <w:r>
        <w:rPr>
          <w:rFonts w:ascii="Times New Roman" w:hAnsi="Times New Roman" w:cs="Times New Roman"/>
          <w:b/>
          <w:bCs/>
          <w:color w:val="auto"/>
          <w:sz w:val="24"/>
          <w:szCs w:val="24"/>
        </w:rPr>
        <w:t>TABLE OF CONTENTS</w:t>
      </w:r>
    </w:p>
    <w:p>
      <w:pPr>
        <w:pStyle w:val="23"/>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rPr>
          <w:b/>
          <w:bCs/>
        </w:rPr>
      </w:pPr>
      <w:r>
        <w:fldChar w:fldCharType="begin"/>
      </w:r>
      <w:r>
        <w:instrText xml:space="preserve"> TOC \o "1-3" \h \z \u </w:instrText>
      </w:r>
      <w:r>
        <w:fldChar w:fldCharType="separate"/>
      </w:r>
      <w:r>
        <w:rPr>
          <w:b/>
          <w:bCs/>
        </w:rPr>
        <w:fldChar w:fldCharType="begin"/>
      </w:r>
      <w:r>
        <w:rPr>
          <w:b/>
          <w:bCs/>
        </w:rPr>
        <w:instrText xml:space="preserve"> HYPERLINK \l "_Toc7033" </w:instrText>
      </w:r>
      <w:r>
        <w:rPr>
          <w:b/>
          <w:bCs/>
        </w:rPr>
        <w:fldChar w:fldCharType="separate"/>
      </w:r>
      <w:r>
        <w:rPr>
          <w:rFonts w:eastAsia="Times New Roman" w:cs="Times New Roman"/>
          <w:b/>
          <w:bCs/>
          <w:szCs w:val="24"/>
          <w:lang w:eastAsia="ja-JP"/>
        </w:rPr>
        <w:t>CERTIFICATION</w:t>
      </w:r>
      <w:r>
        <w:rPr>
          <w:b/>
          <w:bCs/>
        </w:rPr>
        <w:tab/>
      </w:r>
      <w:r>
        <w:rPr>
          <w:b/>
          <w:bCs/>
        </w:rPr>
        <w:fldChar w:fldCharType="begin"/>
      </w:r>
      <w:r>
        <w:rPr>
          <w:b/>
          <w:bCs/>
        </w:rPr>
        <w:instrText xml:space="preserve"> PAGEREF _Toc7033 \h </w:instrText>
      </w:r>
      <w:r>
        <w:rPr>
          <w:b/>
          <w:bCs/>
        </w:rPr>
        <w:fldChar w:fldCharType="separate"/>
      </w:r>
      <w:r>
        <w:rPr>
          <w:b/>
          <w:bCs/>
        </w:rPr>
        <w:t>ii</w:t>
      </w:r>
      <w:r>
        <w:rPr>
          <w:b/>
          <w:bCs/>
        </w:rPr>
        <w:fldChar w:fldCharType="end"/>
      </w:r>
      <w:r>
        <w:rPr>
          <w:b/>
          <w:bCs/>
        </w:rPr>
        <w:fldChar w:fldCharType="end"/>
      </w:r>
    </w:p>
    <w:p>
      <w:pPr>
        <w:pStyle w:val="23"/>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rPr>
          <w:b/>
          <w:bCs/>
        </w:rPr>
      </w:pPr>
      <w:r>
        <w:rPr>
          <w:b/>
          <w:bCs/>
        </w:rPr>
        <w:fldChar w:fldCharType="begin"/>
      </w:r>
      <w:r>
        <w:rPr>
          <w:b/>
          <w:bCs/>
        </w:rPr>
        <w:instrText xml:space="preserve"> HYPERLINK \l "_Toc20583" </w:instrText>
      </w:r>
      <w:r>
        <w:rPr>
          <w:b/>
          <w:bCs/>
        </w:rPr>
        <w:fldChar w:fldCharType="separate"/>
      </w:r>
      <w:r>
        <w:rPr>
          <w:b/>
          <w:bCs/>
          <w:lang w:val="en-GB"/>
        </w:rPr>
        <w:t>DECLARATION</w:t>
      </w:r>
      <w:r>
        <w:rPr>
          <w:b/>
          <w:bCs/>
        </w:rPr>
        <w:tab/>
      </w:r>
      <w:r>
        <w:rPr>
          <w:b/>
          <w:bCs/>
        </w:rPr>
        <w:fldChar w:fldCharType="begin"/>
      </w:r>
      <w:r>
        <w:rPr>
          <w:b/>
          <w:bCs/>
        </w:rPr>
        <w:instrText xml:space="preserve"> PAGEREF _Toc20583 \h </w:instrText>
      </w:r>
      <w:r>
        <w:rPr>
          <w:b/>
          <w:bCs/>
        </w:rPr>
        <w:fldChar w:fldCharType="separate"/>
      </w:r>
      <w:r>
        <w:rPr>
          <w:b/>
          <w:bCs/>
        </w:rPr>
        <w:t>iii</w:t>
      </w:r>
      <w:r>
        <w:rPr>
          <w:b/>
          <w:bCs/>
        </w:rPr>
        <w:fldChar w:fldCharType="end"/>
      </w:r>
      <w:r>
        <w:rPr>
          <w:b/>
          <w:bCs/>
        </w:rPr>
        <w:fldChar w:fldCharType="end"/>
      </w:r>
    </w:p>
    <w:p>
      <w:pPr>
        <w:pStyle w:val="23"/>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rPr>
          <w:b/>
          <w:bCs/>
        </w:rPr>
      </w:pPr>
      <w:r>
        <w:rPr>
          <w:b/>
          <w:bCs/>
        </w:rPr>
        <w:fldChar w:fldCharType="begin"/>
      </w:r>
      <w:r>
        <w:rPr>
          <w:b/>
          <w:bCs/>
        </w:rPr>
        <w:instrText xml:space="preserve"> HYPERLINK \l "_Toc20043" </w:instrText>
      </w:r>
      <w:r>
        <w:rPr>
          <w:b/>
          <w:bCs/>
        </w:rPr>
        <w:fldChar w:fldCharType="separate"/>
      </w:r>
      <w:r>
        <w:rPr>
          <w:rFonts w:eastAsia="DengXian Light" w:cs="Times New Roman"/>
          <w:b/>
          <w:bCs/>
          <w:szCs w:val="24"/>
          <w:lang w:eastAsia="ja-JP"/>
        </w:rPr>
        <w:t>COPYRIGHT</w:t>
      </w:r>
      <w:r>
        <w:rPr>
          <w:b/>
          <w:bCs/>
        </w:rPr>
        <w:tab/>
      </w:r>
      <w:r>
        <w:rPr>
          <w:b/>
          <w:bCs/>
        </w:rPr>
        <w:fldChar w:fldCharType="begin"/>
      </w:r>
      <w:r>
        <w:rPr>
          <w:b/>
          <w:bCs/>
        </w:rPr>
        <w:instrText xml:space="preserve"> PAGEREF _Toc20043 \h </w:instrText>
      </w:r>
      <w:r>
        <w:rPr>
          <w:b/>
          <w:bCs/>
        </w:rPr>
        <w:fldChar w:fldCharType="separate"/>
      </w:r>
      <w:r>
        <w:rPr>
          <w:b/>
          <w:bCs/>
        </w:rPr>
        <w:t>iv</w:t>
      </w:r>
      <w:r>
        <w:rPr>
          <w:b/>
          <w:bCs/>
        </w:rPr>
        <w:fldChar w:fldCharType="end"/>
      </w:r>
      <w:r>
        <w:rPr>
          <w:b/>
          <w:bCs/>
        </w:rPr>
        <w:fldChar w:fldCharType="end"/>
      </w:r>
    </w:p>
    <w:p>
      <w:pPr>
        <w:pStyle w:val="23"/>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rPr>
          <w:b/>
          <w:bCs/>
        </w:rPr>
      </w:pPr>
      <w:r>
        <w:rPr>
          <w:b/>
          <w:bCs/>
        </w:rPr>
        <w:fldChar w:fldCharType="begin"/>
      </w:r>
      <w:r>
        <w:rPr>
          <w:b/>
          <w:bCs/>
        </w:rPr>
        <w:instrText xml:space="preserve"> HYPERLINK \l "_Toc1283" </w:instrText>
      </w:r>
      <w:r>
        <w:rPr>
          <w:b/>
          <w:bCs/>
        </w:rPr>
        <w:fldChar w:fldCharType="separate"/>
      </w:r>
      <w:r>
        <w:rPr>
          <w:rFonts w:eastAsia="SimSun" w:cs="Times New Roman"/>
          <w:b/>
          <w:bCs/>
          <w:szCs w:val="24"/>
          <w:lang w:eastAsia="ja-JP"/>
        </w:rPr>
        <w:t>DEDICATION</w:t>
      </w:r>
      <w:r>
        <w:rPr>
          <w:b/>
          <w:bCs/>
        </w:rPr>
        <w:tab/>
      </w:r>
      <w:r>
        <w:rPr>
          <w:b/>
          <w:bCs/>
        </w:rPr>
        <w:fldChar w:fldCharType="begin"/>
      </w:r>
      <w:r>
        <w:rPr>
          <w:b/>
          <w:bCs/>
        </w:rPr>
        <w:instrText xml:space="preserve"> PAGEREF _Toc1283 \h </w:instrText>
      </w:r>
      <w:r>
        <w:rPr>
          <w:b/>
          <w:bCs/>
        </w:rPr>
        <w:fldChar w:fldCharType="separate"/>
      </w:r>
      <w:r>
        <w:rPr>
          <w:b/>
          <w:bCs/>
        </w:rPr>
        <w:t>v</w:t>
      </w:r>
      <w:r>
        <w:rPr>
          <w:b/>
          <w:bCs/>
        </w:rPr>
        <w:fldChar w:fldCharType="end"/>
      </w:r>
      <w:r>
        <w:rPr>
          <w:b/>
          <w:bCs/>
        </w:rPr>
        <w:fldChar w:fldCharType="end"/>
      </w:r>
    </w:p>
    <w:p>
      <w:pPr>
        <w:pStyle w:val="23"/>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rPr>
          <w:b/>
          <w:bCs/>
        </w:rPr>
      </w:pPr>
      <w:r>
        <w:rPr>
          <w:b/>
          <w:bCs/>
        </w:rPr>
        <w:fldChar w:fldCharType="begin"/>
      </w:r>
      <w:r>
        <w:rPr>
          <w:b/>
          <w:bCs/>
        </w:rPr>
        <w:instrText xml:space="preserve"> HYPERLINK \l "_Toc31842" </w:instrText>
      </w:r>
      <w:r>
        <w:rPr>
          <w:b/>
          <w:bCs/>
        </w:rPr>
        <w:fldChar w:fldCharType="separate"/>
      </w:r>
      <w:r>
        <w:rPr>
          <w:b/>
          <w:bCs/>
          <w:szCs w:val="24"/>
        </w:rPr>
        <w:t>ACKNOWLEDGEMENTS</w:t>
      </w:r>
      <w:r>
        <w:rPr>
          <w:b/>
          <w:bCs/>
        </w:rPr>
        <w:tab/>
      </w:r>
      <w:r>
        <w:rPr>
          <w:b/>
          <w:bCs/>
        </w:rPr>
        <w:fldChar w:fldCharType="begin"/>
      </w:r>
      <w:r>
        <w:rPr>
          <w:b/>
          <w:bCs/>
        </w:rPr>
        <w:instrText xml:space="preserve"> PAGEREF _Toc31842 \h </w:instrText>
      </w:r>
      <w:r>
        <w:rPr>
          <w:b/>
          <w:bCs/>
        </w:rPr>
        <w:fldChar w:fldCharType="separate"/>
      </w:r>
      <w:r>
        <w:rPr>
          <w:b/>
          <w:bCs/>
        </w:rPr>
        <w:t>vi</w:t>
      </w:r>
      <w:r>
        <w:rPr>
          <w:b/>
          <w:bCs/>
        </w:rPr>
        <w:fldChar w:fldCharType="end"/>
      </w:r>
      <w:r>
        <w:rPr>
          <w:b/>
          <w:bCs/>
        </w:rPr>
        <w:fldChar w:fldCharType="end"/>
      </w:r>
    </w:p>
    <w:p>
      <w:pPr>
        <w:pStyle w:val="23"/>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rPr>
          <w:b/>
          <w:bCs/>
        </w:rPr>
      </w:pPr>
      <w:r>
        <w:rPr>
          <w:b/>
          <w:bCs/>
        </w:rPr>
        <w:fldChar w:fldCharType="begin"/>
      </w:r>
      <w:r>
        <w:rPr>
          <w:b/>
          <w:bCs/>
        </w:rPr>
        <w:instrText xml:space="preserve"> HYPERLINK \l "_Toc32162" </w:instrText>
      </w:r>
      <w:r>
        <w:rPr>
          <w:b/>
          <w:bCs/>
        </w:rPr>
        <w:fldChar w:fldCharType="separate"/>
      </w:r>
      <w:r>
        <w:rPr>
          <w:b/>
          <w:bCs/>
          <w:lang w:val="en-GB"/>
        </w:rPr>
        <w:t>ABSTRACT</w:t>
      </w:r>
      <w:r>
        <w:rPr>
          <w:b/>
          <w:bCs/>
        </w:rPr>
        <w:tab/>
      </w:r>
      <w:r>
        <w:rPr>
          <w:b/>
          <w:bCs/>
        </w:rPr>
        <w:fldChar w:fldCharType="begin"/>
      </w:r>
      <w:r>
        <w:rPr>
          <w:b/>
          <w:bCs/>
        </w:rPr>
        <w:instrText xml:space="preserve"> PAGEREF _Toc32162 \h </w:instrText>
      </w:r>
      <w:r>
        <w:rPr>
          <w:b/>
          <w:bCs/>
        </w:rPr>
        <w:fldChar w:fldCharType="separate"/>
      </w:r>
      <w:r>
        <w:rPr>
          <w:b/>
          <w:bCs/>
        </w:rPr>
        <w:t>vii</w:t>
      </w:r>
      <w:r>
        <w:rPr>
          <w:b/>
          <w:bCs/>
        </w:rPr>
        <w:fldChar w:fldCharType="end"/>
      </w:r>
      <w:r>
        <w:rPr>
          <w:b/>
          <w:bCs/>
        </w:rPr>
        <w:fldChar w:fldCharType="end"/>
      </w:r>
    </w:p>
    <w:p>
      <w:pPr>
        <w:pStyle w:val="23"/>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rPr>
          <w:b/>
          <w:bCs/>
        </w:rPr>
      </w:pPr>
      <w:r>
        <w:rPr>
          <w:b/>
          <w:bCs/>
        </w:rPr>
        <w:fldChar w:fldCharType="begin"/>
      </w:r>
      <w:r>
        <w:rPr>
          <w:b/>
          <w:bCs/>
        </w:rPr>
        <w:instrText xml:space="preserve"> HYPERLINK \l "_Toc22007" </w:instrText>
      </w:r>
      <w:r>
        <w:rPr>
          <w:b/>
          <w:bCs/>
        </w:rPr>
        <w:fldChar w:fldCharType="separate"/>
      </w:r>
      <w:r>
        <w:rPr>
          <w:b/>
          <w:bCs/>
        </w:rPr>
        <w:t>LIST OF TABLES</w:t>
      </w:r>
      <w:r>
        <w:rPr>
          <w:b/>
          <w:bCs/>
        </w:rPr>
        <w:tab/>
      </w:r>
      <w:r>
        <w:rPr>
          <w:b/>
          <w:bCs/>
        </w:rPr>
        <w:fldChar w:fldCharType="begin"/>
      </w:r>
      <w:r>
        <w:rPr>
          <w:b/>
          <w:bCs/>
        </w:rPr>
        <w:instrText xml:space="preserve"> PAGEREF _Toc22007 \h </w:instrText>
      </w:r>
      <w:r>
        <w:rPr>
          <w:b/>
          <w:bCs/>
        </w:rPr>
        <w:fldChar w:fldCharType="separate"/>
      </w:r>
      <w:r>
        <w:rPr>
          <w:b/>
          <w:bCs/>
        </w:rPr>
        <w:t>xiii</w:t>
      </w:r>
      <w:r>
        <w:rPr>
          <w:b/>
          <w:bCs/>
        </w:rPr>
        <w:fldChar w:fldCharType="end"/>
      </w:r>
      <w:r>
        <w:rPr>
          <w:b/>
          <w:bCs/>
        </w:rPr>
        <w:fldChar w:fldCharType="end"/>
      </w:r>
    </w:p>
    <w:p>
      <w:pPr>
        <w:pStyle w:val="23"/>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rPr>
          <w:b/>
          <w:bCs/>
        </w:rPr>
      </w:pPr>
      <w:r>
        <w:rPr>
          <w:b/>
          <w:bCs/>
        </w:rPr>
        <w:fldChar w:fldCharType="begin"/>
      </w:r>
      <w:r>
        <w:rPr>
          <w:b/>
          <w:bCs/>
        </w:rPr>
        <w:instrText xml:space="preserve"> HYPERLINK \l "_Toc16940" </w:instrText>
      </w:r>
      <w:r>
        <w:rPr>
          <w:b/>
          <w:bCs/>
        </w:rPr>
        <w:fldChar w:fldCharType="separate"/>
      </w:r>
      <w:r>
        <w:rPr>
          <w:b/>
          <w:bCs/>
        </w:rPr>
        <w:t>LIST OF ABBREVIATIONS</w:t>
      </w:r>
      <w:r>
        <w:rPr>
          <w:b/>
          <w:bCs/>
        </w:rPr>
        <w:tab/>
      </w:r>
      <w:r>
        <w:rPr>
          <w:b/>
          <w:bCs/>
        </w:rPr>
        <w:fldChar w:fldCharType="begin"/>
      </w:r>
      <w:r>
        <w:rPr>
          <w:b/>
          <w:bCs/>
        </w:rPr>
        <w:instrText xml:space="preserve"> PAGEREF _Toc16940 \h </w:instrText>
      </w:r>
      <w:r>
        <w:rPr>
          <w:b/>
          <w:bCs/>
        </w:rPr>
        <w:fldChar w:fldCharType="separate"/>
      </w:r>
      <w:r>
        <w:rPr>
          <w:b/>
          <w:bCs/>
        </w:rPr>
        <w:t>xiv</w:t>
      </w:r>
      <w:r>
        <w:rPr>
          <w:b/>
          <w:bCs/>
        </w:rPr>
        <w:fldChar w:fldCharType="end"/>
      </w:r>
      <w:r>
        <w:rPr>
          <w:b/>
          <w:bCs/>
        </w:rPr>
        <w:fldChar w:fldCharType="end"/>
      </w:r>
    </w:p>
    <w:p>
      <w:pPr>
        <w:pStyle w:val="23"/>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rPr>
          <w:b/>
          <w:bCs/>
        </w:rPr>
      </w:pPr>
      <w:r>
        <w:rPr>
          <w:b/>
          <w:bCs/>
        </w:rPr>
        <w:fldChar w:fldCharType="begin"/>
      </w:r>
      <w:r>
        <w:rPr>
          <w:b/>
          <w:bCs/>
        </w:rPr>
        <w:instrText xml:space="preserve"> HYPERLINK \l "_Toc16799" </w:instrText>
      </w:r>
      <w:r>
        <w:rPr>
          <w:b/>
          <w:bCs/>
        </w:rPr>
        <w:fldChar w:fldCharType="separate"/>
      </w:r>
      <w:r>
        <w:rPr>
          <w:b/>
          <w:bCs/>
        </w:rPr>
        <w:t>CHAPTER ONE</w:t>
      </w:r>
      <w:r>
        <w:rPr>
          <w:b/>
          <w:bCs/>
        </w:rPr>
        <w:tab/>
      </w:r>
      <w:r>
        <w:rPr>
          <w:b/>
          <w:bCs/>
        </w:rPr>
        <w:fldChar w:fldCharType="begin"/>
      </w:r>
      <w:r>
        <w:rPr>
          <w:b/>
          <w:bCs/>
        </w:rPr>
        <w:instrText xml:space="preserve"> PAGEREF _Toc16799 \h </w:instrText>
      </w:r>
      <w:r>
        <w:rPr>
          <w:b/>
          <w:bCs/>
        </w:rPr>
        <w:fldChar w:fldCharType="separate"/>
      </w:r>
      <w:r>
        <w:rPr>
          <w:b/>
          <w:bCs/>
        </w:rPr>
        <w:t>1</w:t>
      </w:r>
      <w:r>
        <w:rPr>
          <w:b/>
          <w:bCs/>
        </w:rPr>
        <w:fldChar w:fldCharType="end"/>
      </w:r>
      <w:r>
        <w:rPr>
          <w:b/>
          <w:bCs/>
        </w:rPr>
        <w:fldChar w:fldCharType="end"/>
      </w:r>
    </w:p>
    <w:p>
      <w:pPr>
        <w:pStyle w:val="23"/>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rPr>
          <w:b/>
          <w:bCs/>
        </w:rPr>
        <w:fldChar w:fldCharType="begin"/>
      </w:r>
      <w:r>
        <w:rPr>
          <w:b/>
          <w:bCs/>
        </w:rPr>
        <w:instrText xml:space="preserve"> HYPERLINK \l "_Toc19460" </w:instrText>
      </w:r>
      <w:r>
        <w:rPr>
          <w:b/>
          <w:bCs/>
        </w:rPr>
        <w:fldChar w:fldCharType="separate"/>
      </w:r>
      <w:r>
        <w:rPr>
          <w:b/>
          <w:bCs/>
        </w:rPr>
        <w:t>INTRODUCTION</w:t>
      </w:r>
      <w:r>
        <w:rPr>
          <w:b/>
          <w:bCs/>
        </w:rPr>
        <w:tab/>
      </w:r>
      <w:r>
        <w:rPr>
          <w:b/>
          <w:bCs/>
        </w:rPr>
        <w:fldChar w:fldCharType="begin"/>
      </w:r>
      <w:r>
        <w:rPr>
          <w:b/>
          <w:bCs/>
        </w:rPr>
        <w:instrText xml:space="preserve"> PAGEREF _Toc19460 \h </w:instrText>
      </w:r>
      <w:r>
        <w:rPr>
          <w:b/>
          <w:bCs/>
        </w:rPr>
        <w:fldChar w:fldCharType="separate"/>
      </w:r>
      <w:r>
        <w:rPr>
          <w:b/>
          <w:bCs/>
        </w:rPr>
        <w:t>1</w:t>
      </w:r>
      <w:r>
        <w:rPr>
          <w:b/>
          <w:bCs/>
        </w:rPr>
        <w:fldChar w:fldCharType="end"/>
      </w:r>
      <w:r>
        <w:rPr>
          <w:b/>
          <w:bCs/>
        </w:rP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245"/>
        <w:textAlignment w:val="auto"/>
      </w:pPr>
      <w:r>
        <w:fldChar w:fldCharType="begin"/>
      </w:r>
      <w:r>
        <w:instrText xml:space="preserve"> HYPERLINK \l "_Toc21449" </w:instrText>
      </w:r>
      <w:r>
        <w:fldChar w:fldCharType="separate"/>
      </w:r>
      <w:r>
        <w:rPr>
          <w:rFonts w:eastAsia="Times New Roman" w:cs="Times New Roman"/>
          <w:bCs/>
          <w:szCs w:val="26"/>
        </w:rPr>
        <w:t xml:space="preserve">1.0 </w:t>
      </w:r>
      <w:r>
        <w:rPr>
          <w:rFonts w:eastAsia="Times New Roman" w:cs="Times New Roman"/>
          <w:szCs w:val="26"/>
        </w:rPr>
        <w:t>Introduction</w:t>
      </w:r>
      <w:r>
        <w:tab/>
      </w:r>
      <w:r>
        <w:fldChar w:fldCharType="begin"/>
      </w:r>
      <w:r>
        <w:instrText xml:space="preserve"> PAGEREF _Toc21449 \h </w:instrText>
      </w:r>
      <w:r>
        <w:fldChar w:fldCharType="separate"/>
      </w:r>
      <w:r>
        <w:t>1</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245"/>
        <w:textAlignment w:val="auto"/>
      </w:pPr>
      <w:r>
        <w:fldChar w:fldCharType="begin"/>
      </w:r>
      <w:r>
        <w:instrText xml:space="preserve"> HYPERLINK \l "_Toc17421" </w:instrText>
      </w:r>
      <w:r>
        <w:fldChar w:fldCharType="separate"/>
      </w:r>
      <w:r>
        <w:rPr>
          <w:rFonts w:eastAsia="Times New Roman" w:cs="Times New Roman"/>
          <w:szCs w:val="26"/>
        </w:rPr>
        <w:t>1.1 Background of the Study</w:t>
      </w:r>
      <w:r>
        <w:tab/>
      </w:r>
      <w:r>
        <w:fldChar w:fldCharType="begin"/>
      </w:r>
      <w:r>
        <w:instrText xml:space="preserve"> PAGEREF _Toc17421 \h </w:instrText>
      </w:r>
      <w:r>
        <w:fldChar w:fldCharType="separate"/>
      </w:r>
      <w:r>
        <w:t>1</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245"/>
        <w:textAlignment w:val="auto"/>
      </w:pPr>
      <w:r>
        <w:fldChar w:fldCharType="begin"/>
      </w:r>
      <w:r>
        <w:instrText xml:space="preserve"> HYPERLINK \l "_Toc10041" </w:instrText>
      </w:r>
      <w:r>
        <w:fldChar w:fldCharType="separate"/>
      </w:r>
      <w:r>
        <w:t>1.2 Statement of the Problem</w:t>
      </w:r>
      <w:r>
        <w:tab/>
      </w:r>
      <w:r>
        <w:fldChar w:fldCharType="begin"/>
      </w:r>
      <w:r>
        <w:instrText xml:space="preserve"> PAGEREF _Toc10041 \h </w:instrText>
      </w:r>
      <w:r>
        <w:fldChar w:fldCharType="separate"/>
      </w:r>
      <w:r>
        <w:t>3</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245"/>
        <w:textAlignment w:val="auto"/>
      </w:pPr>
      <w:r>
        <w:fldChar w:fldCharType="begin"/>
      </w:r>
      <w:r>
        <w:instrText xml:space="preserve"> HYPERLINK \l "_Toc16831" </w:instrText>
      </w:r>
      <w:r>
        <w:fldChar w:fldCharType="separate"/>
      </w:r>
      <w:r>
        <w:t>1.3 Research Objectives</w:t>
      </w:r>
      <w:r>
        <w:tab/>
      </w:r>
      <w:r>
        <w:fldChar w:fldCharType="begin"/>
      </w:r>
      <w:r>
        <w:instrText xml:space="preserve"> PAGEREF _Toc16831 \h </w:instrText>
      </w:r>
      <w:r>
        <w:fldChar w:fldCharType="separate"/>
      </w:r>
      <w:r>
        <w:t>4</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245"/>
        <w:textAlignment w:val="auto"/>
      </w:pPr>
      <w:r>
        <w:fldChar w:fldCharType="begin"/>
      </w:r>
      <w:r>
        <w:instrText xml:space="preserve"> HYPERLINK \l "_Toc17981" </w:instrText>
      </w:r>
      <w:r>
        <w:fldChar w:fldCharType="separate"/>
      </w:r>
      <w:r>
        <w:t>1.3.1 General Objective</w:t>
      </w:r>
      <w:r>
        <w:tab/>
      </w:r>
      <w:r>
        <w:fldChar w:fldCharType="begin"/>
      </w:r>
      <w:r>
        <w:instrText xml:space="preserve"> PAGEREF _Toc17981 \h </w:instrText>
      </w:r>
      <w:r>
        <w:fldChar w:fldCharType="separate"/>
      </w:r>
      <w:r>
        <w:t>4</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245"/>
        <w:textAlignment w:val="auto"/>
      </w:pPr>
      <w:r>
        <w:fldChar w:fldCharType="begin"/>
      </w:r>
      <w:r>
        <w:instrText xml:space="preserve"> HYPERLINK \l "_Toc7167" </w:instrText>
      </w:r>
      <w:r>
        <w:fldChar w:fldCharType="separate"/>
      </w:r>
      <w:r>
        <w:t>1.3.2 Specific Objectives</w:t>
      </w:r>
      <w:r>
        <w:tab/>
      </w:r>
      <w:r>
        <w:fldChar w:fldCharType="begin"/>
      </w:r>
      <w:r>
        <w:instrText xml:space="preserve"> PAGEREF _Toc7167 \h </w:instrText>
      </w:r>
      <w:r>
        <w:fldChar w:fldCharType="separate"/>
      </w:r>
      <w:r>
        <w:t>4</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245"/>
        <w:textAlignment w:val="auto"/>
      </w:pPr>
      <w:r>
        <w:fldChar w:fldCharType="begin"/>
      </w:r>
      <w:r>
        <w:instrText xml:space="preserve"> HYPERLINK \l "_Toc4789" </w:instrText>
      </w:r>
      <w:r>
        <w:fldChar w:fldCharType="separate"/>
      </w:r>
      <w:r>
        <w:t>1.4 Research Questions</w:t>
      </w:r>
      <w:r>
        <w:tab/>
      </w:r>
      <w:r>
        <w:fldChar w:fldCharType="begin"/>
      </w:r>
      <w:r>
        <w:instrText xml:space="preserve"> PAGEREF _Toc4789 \h </w:instrText>
      </w:r>
      <w:r>
        <w:fldChar w:fldCharType="separate"/>
      </w:r>
      <w:r>
        <w:t>4</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245"/>
        <w:textAlignment w:val="auto"/>
      </w:pPr>
      <w:r>
        <w:fldChar w:fldCharType="begin"/>
      </w:r>
      <w:r>
        <w:instrText xml:space="preserve"> HYPERLINK \l "_Toc8597" </w:instrText>
      </w:r>
      <w:r>
        <w:fldChar w:fldCharType="separate"/>
      </w:r>
      <w:r>
        <w:t>1.5 Justification of the Study</w:t>
      </w:r>
      <w:r>
        <w:tab/>
      </w:r>
      <w:r>
        <w:fldChar w:fldCharType="begin"/>
      </w:r>
      <w:r>
        <w:instrText xml:space="preserve"> PAGEREF _Toc8597 \h </w:instrText>
      </w:r>
      <w:r>
        <w:fldChar w:fldCharType="separate"/>
      </w:r>
      <w:r>
        <w:t>4</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245"/>
        <w:textAlignment w:val="auto"/>
      </w:pPr>
      <w:r>
        <w:fldChar w:fldCharType="begin"/>
      </w:r>
      <w:r>
        <w:instrText xml:space="preserve"> HYPERLINK \l "_Toc19230" </w:instrText>
      </w:r>
      <w:r>
        <w:fldChar w:fldCharType="separate"/>
      </w:r>
      <w:r>
        <w:t>1.6 Scope of the study</w:t>
      </w:r>
      <w:r>
        <w:tab/>
      </w:r>
      <w:r>
        <w:fldChar w:fldCharType="begin"/>
      </w:r>
      <w:r>
        <w:instrText xml:space="preserve"> PAGEREF _Toc19230 \h </w:instrText>
      </w:r>
      <w:r>
        <w:fldChar w:fldCharType="separate"/>
      </w:r>
      <w:r>
        <w:t>6</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245"/>
        <w:textAlignment w:val="auto"/>
      </w:pPr>
      <w:r>
        <w:fldChar w:fldCharType="begin"/>
      </w:r>
      <w:r>
        <w:instrText xml:space="preserve"> HYPERLINK \l "_Toc32374" </w:instrText>
      </w:r>
      <w:r>
        <w:fldChar w:fldCharType="separate"/>
      </w:r>
      <w:r>
        <w:t>1.7 Limitation of the Study</w:t>
      </w:r>
      <w:r>
        <w:tab/>
      </w:r>
      <w:r>
        <w:fldChar w:fldCharType="begin"/>
      </w:r>
      <w:r>
        <w:instrText xml:space="preserve"> PAGEREF _Toc32374 \h </w:instrText>
      </w:r>
      <w:r>
        <w:fldChar w:fldCharType="separate"/>
      </w:r>
      <w:r>
        <w:t>6</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245"/>
        <w:textAlignment w:val="auto"/>
      </w:pPr>
      <w:r>
        <w:fldChar w:fldCharType="begin"/>
      </w:r>
      <w:r>
        <w:instrText xml:space="preserve"> HYPERLINK \l "_Toc32069" </w:instrText>
      </w:r>
      <w:r>
        <w:fldChar w:fldCharType="separate"/>
      </w:r>
      <w:r>
        <w:t>1.8 Significance of the Study</w:t>
      </w:r>
      <w:r>
        <w:tab/>
      </w:r>
      <w:r>
        <w:fldChar w:fldCharType="begin"/>
      </w:r>
      <w:r>
        <w:instrText xml:space="preserve"> PAGEREF _Toc32069 \h </w:instrText>
      </w:r>
      <w:r>
        <w:fldChar w:fldCharType="separate"/>
      </w:r>
      <w:r>
        <w:t>6</w:t>
      </w:r>
      <w:r>
        <w:fldChar w:fldCharType="end"/>
      </w:r>
      <w:r>
        <w:fldChar w:fldCharType="end"/>
      </w:r>
    </w:p>
    <w:p>
      <w:pPr>
        <w:pStyle w:val="23"/>
        <w:tabs>
          <w:tab w:val="right" w:leader="dot" w:pos="8640"/>
        </w:tabs>
        <w:rPr>
          <w:b/>
          <w:bCs/>
        </w:rPr>
      </w:pPr>
      <w:r>
        <w:rPr>
          <w:b/>
          <w:bCs/>
        </w:rPr>
        <w:fldChar w:fldCharType="begin"/>
      </w:r>
      <w:r>
        <w:rPr>
          <w:b/>
          <w:bCs/>
        </w:rPr>
        <w:instrText xml:space="preserve"> HYPERLINK \l "_Toc31806" </w:instrText>
      </w:r>
      <w:r>
        <w:rPr>
          <w:b/>
          <w:bCs/>
        </w:rPr>
        <w:fldChar w:fldCharType="separate"/>
      </w:r>
      <w:r>
        <w:rPr>
          <w:rFonts w:eastAsia="Times New Roman"/>
          <w:b/>
          <w:bCs/>
          <w:lang w:val="en-GB" w:eastAsia="en-GB"/>
        </w:rPr>
        <w:t>C</w:t>
      </w:r>
      <w:r>
        <w:rPr>
          <w:rFonts w:eastAsia="Times New Roman"/>
          <w:b/>
          <w:bCs/>
          <w:lang w:eastAsia="en-GB"/>
        </w:rPr>
        <w:t>HAPTER TWO</w:t>
      </w:r>
      <w:r>
        <w:rPr>
          <w:b/>
          <w:bCs/>
        </w:rPr>
        <w:tab/>
      </w:r>
      <w:r>
        <w:rPr>
          <w:b/>
          <w:bCs/>
        </w:rPr>
        <w:fldChar w:fldCharType="begin"/>
      </w:r>
      <w:r>
        <w:rPr>
          <w:b/>
          <w:bCs/>
        </w:rPr>
        <w:instrText xml:space="preserve"> PAGEREF _Toc31806 \h </w:instrText>
      </w:r>
      <w:r>
        <w:rPr>
          <w:b/>
          <w:bCs/>
        </w:rPr>
        <w:fldChar w:fldCharType="separate"/>
      </w:r>
      <w:r>
        <w:rPr>
          <w:b/>
          <w:bCs/>
        </w:rPr>
        <w:t>8</w:t>
      </w:r>
      <w:r>
        <w:rPr>
          <w:b/>
          <w:bCs/>
        </w:rPr>
        <w:fldChar w:fldCharType="end"/>
      </w:r>
      <w:r>
        <w:rPr>
          <w:b/>
          <w:bCs/>
        </w:rPr>
        <w:fldChar w:fldCharType="end"/>
      </w:r>
    </w:p>
    <w:p>
      <w:pPr>
        <w:pStyle w:val="23"/>
        <w:tabs>
          <w:tab w:val="right" w:leader="dot" w:pos="8640"/>
        </w:tabs>
        <w:rPr>
          <w:b/>
          <w:bCs/>
        </w:rPr>
      </w:pPr>
      <w:r>
        <w:rPr>
          <w:b/>
          <w:bCs/>
        </w:rPr>
        <w:fldChar w:fldCharType="begin"/>
      </w:r>
      <w:r>
        <w:rPr>
          <w:b/>
          <w:bCs/>
        </w:rPr>
        <w:instrText xml:space="preserve"> HYPERLINK \l "_Toc31571" </w:instrText>
      </w:r>
      <w:r>
        <w:rPr>
          <w:b/>
          <w:bCs/>
        </w:rPr>
        <w:fldChar w:fldCharType="separate"/>
      </w:r>
      <w:r>
        <w:rPr>
          <w:rFonts w:eastAsia="Times New Roman"/>
          <w:b/>
          <w:bCs/>
          <w:lang w:val="en-GB" w:eastAsia="en-GB"/>
        </w:rPr>
        <w:t>L</w:t>
      </w:r>
      <w:r>
        <w:rPr>
          <w:rFonts w:eastAsia="Times New Roman"/>
          <w:b/>
          <w:bCs/>
          <w:lang w:eastAsia="en-GB"/>
        </w:rPr>
        <w:t xml:space="preserve">ITERATURE </w:t>
      </w:r>
      <w:r>
        <w:rPr>
          <w:rFonts w:eastAsia="Times New Roman"/>
          <w:b/>
          <w:bCs/>
          <w:lang w:val="en-GB" w:eastAsia="en-GB"/>
        </w:rPr>
        <w:t>R</w:t>
      </w:r>
      <w:r>
        <w:rPr>
          <w:rFonts w:eastAsia="Times New Roman"/>
          <w:b/>
          <w:bCs/>
          <w:lang w:eastAsia="en-GB"/>
        </w:rPr>
        <w:t>EVIEW</w:t>
      </w:r>
      <w:r>
        <w:rPr>
          <w:b/>
          <w:bCs/>
        </w:rPr>
        <w:tab/>
      </w:r>
      <w:r>
        <w:rPr>
          <w:b/>
          <w:bCs/>
        </w:rPr>
        <w:fldChar w:fldCharType="begin"/>
      </w:r>
      <w:r>
        <w:rPr>
          <w:b/>
          <w:bCs/>
        </w:rPr>
        <w:instrText xml:space="preserve"> PAGEREF _Toc31571 \h </w:instrText>
      </w:r>
      <w:r>
        <w:rPr>
          <w:b/>
          <w:bCs/>
        </w:rPr>
        <w:fldChar w:fldCharType="separate"/>
      </w:r>
      <w:r>
        <w:rPr>
          <w:b/>
          <w:bCs/>
        </w:rPr>
        <w:t>8</w:t>
      </w:r>
      <w:r>
        <w:rPr>
          <w:b/>
          <w:bCs/>
        </w:rPr>
        <w:fldChar w:fldCharType="end"/>
      </w:r>
      <w:r>
        <w:rPr>
          <w:b/>
          <w:bCs/>
        </w:rP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"_Toc32647" </w:instrText>
      </w:r>
      <w:r>
        <w:fldChar w:fldCharType="separate"/>
      </w:r>
      <w:r>
        <w:rPr>
          <w:rFonts w:eastAsia="Times New Roman" w:cs="Times New Roman"/>
          <w:bCs/>
          <w:szCs w:val="24"/>
          <w:lang w:eastAsia="en-GB"/>
        </w:rPr>
        <w:t>2.0 Introduction</w:t>
      </w:r>
      <w:r>
        <w:tab/>
      </w:r>
      <w:r>
        <w:fldChar w:fldCharType="begin"/>
      </w:r>
      <w:r>
        <w:instrText xml:space="preserve"> PAGEREF _Toc32647 \h </w:instrText>
      </w:r>
      <w:r>
        <w:fldChar w:fldCharType="separate"/>
      </w:r>
      <w:r>
        <w:t>8</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"_Toc20032" </w:instrText>
      </w:r>
      <w:r>
        <w:fldChar w:fldCharType="separate"/>
      </w:r>
      <w:r>
        <w:rPr>
          <w:lang w:val="en-GB"/>
        </w:rPr>
        <w:t>2.2 The Conceptual Definitions</w:t>
      </w:r>
      <w:r>
        <w:tab/>
      </w:r>
      <w:r>
        <w:fldChar w:fldCharType="begin"/>
      </w:r>
      <w:r>
        <w:instrText xml:space="preserve"> PAGEREF _Toc20032 \h </w:instrText>
      </w:r>
      <w:r>
        <w:fldChar w:fldCharType="separate"/>
      </w:r>
      <w:r>
        <w:t>8</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"_Toc28938" </w:instrText>
      </w:r>
      <w:r>
        <w:fldChar w:fldCharType="separate"/>
      </w:r>
      <w:r>
        <w:rPr>
          <w:lang w:val="en-GB"/>
        </w:rPr>
        <w:t xml:space="preserve">2.2.1 </w:t>
      </w:r>
      <w:r>
        <w:t>Mergers and Acquisitions (M&amp;A)</w:t>
      </w:r>
      <w:r>
        <w:tab/>
      </w:r>
      <w:r>
        <w:fldChar w:fldCharType="begin"/>
      </w:r>
      <w:r>
        <w:instrText xml:space="preserve"> PAGEREF _Toc28938 \h </w:instrText>
      </w:r>
      <w:r>
        <w:fldChar w:fldCharType="separate"/>
      </w:r>
      <w:r>
        <w:t>8</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"_Toc14588" </w:instrText>
      </w:r>
      <w:r>
        <w:fldChar w:fldCharType="separate"/>
      </w:r>
      <w:r>
        <w:t>2.2.2 The Public Service Social Security Fund (PSSSF)</w:t>
      </w:r>
      <w:r>
        <w:tab/>
      </w:r>
      <w:r>
        <w:fldChar w:fldCharType="begin"/>
      </w:r>
      <w:r>
        <w:instrText xml:space="preserve"> PAGEREF _Toc14588 \h </w:instrText>
      </w:r>
      <w:r>
        <w:fldChar w:fldCharType="separate"/>
      </w:r>
      <w:r>
        <w:t>8</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"_Toc30887" </w:instrText>
      </w:r>
      <w:r>
        <w:fldChar w:fldCharType="separate"/>
      </w:r>
      <w:r>
        <w:t>2.2.3 Customer Engagement</w:t>
      </w:r>
      <w:r>
        <w:tab/>
      </w:r>
      <w:r>
        <w:fldChar w:fldCharType="begin"/>
      </w:r>
      <w:r>
        <w:instrText xml:space="preserve"> PAGEREF _Toc30887 \h </w:instrText>
      </w:r>
      <w:r>
        <w:fldChar w:fldCharType="separate"/>
      </w:r>
      <w:r>
        <w:t>9</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"_Toc14800" </w:instrText>
      </w:r>
      <w:r>
        <w:fldChar w:fldCharType="separate"/>
      </w:r>
      <w:r>
        <w:t>2.2.4 Welfare</w:t>
      </w:r>
      <w:r>
        <w:tab/>
      </w:r>
      <w:r>
        <w:fldChar w:fldCharType="begin"/>
      </w:r>
      <w:r>
        <w:instrText xml:space="preserve"> PAGEREF _Toc14800 \h </w:instrText>
      </w:r>
      <w:r>
        <w:fldChar w:fldCharType="separate"/>
      </w:r>
      <w:r>
        <w:t>10</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"_Toc25031" </w:instrText>
      </w:r>
      <w:r>
        <w:fldChar w:fldCharType="separate"/>
      </w:r>
      <w:r>
        <w:t>2.2.5 Efficiency</w:t>
      </w:r>
      <w:r>
        <w:tab/>
      </w:r>
      <w:r>
        <w:fldChar w:fldCharType="begin"/>
      </w:r>
      <w:r>
        <w:instrText xml:space="preserve"> PAGEREF _Toc25031 \h </w:instrText>
      </w:r>
      <w:r>
        <w:fldChar w:fldCharType="separate"/>
      </w:r>
      <w:r>
        <w:t>10</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"_Toc9150" </w:instrText>
      </w:r>
      <w:r>
        <w:fldChar w:fldCharType="separate"/>
      </w:r>
      <w:r>
        <w:t>2.3 Theoretical Literature Review</w:t>
      </w:r>
      <w:r>
        <w:tab/>
      </w:r>
      <w:r>
        <w:fldChar w:fldCharType="begin"/>
      </w:r>
      <w:r>
        <w:instrText xml:space="preserve"> PAGEREF _Toc9150 \h </w:instrText>
      </w:r>
      <w:r>
        <w:fldChar w:fldCharType="separate"/>
      </w:r>
      <w:r>
        <w:t>11</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"_Toc31670" </w:instrText>
      </w:r>
      <w:r>
        <w:fldChar w:fldCharType="separate"/>
      </w:r>
      <w:r>
        <w:t>2.3.2 Resource-Based View (RBV) Theory</w:t>
      </w:r>
      <w:r>
        <w:tab/>
      </w:r>
      <w:r>
        <w:fldChar w:fldCharType="begin"/>
      </w:r>
      <w:r>
        <w:instrText xml:space="preserve"> PAGEREF _Toc31670 \h </w:instrText>
      </w:r>
      <w:r>
        <w:fldChar w:fldCharType="separate"/>
      </w:r>
      <w:r>
        <w:t>11</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"_Toc30699" </w:instrText>
      </w:r>
      <w:r>
        <w:fldChar w:fldCharType="separate"/>
      </w:r>
      <w:r>
        <w:t>2.3.3 Stakeholder Theory</w:t>
      </w:r>
      <w:r>
        <w:tab/>
      </w:r>
      <w:r>
        <w:fldChar w:fldCharType="begin"/>
      </w:r>
      <w:r>
        <w:instrText xml:space="preserve"> PAGEREF _Toc30699 \h </w:instrText>
      </w:r>
      <w:r>
        <w:fldChar w:fldCharType="separate"/>
      </w:r>
      <w:r>
        <w:t>12</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"_Toc7653" </w:instrText>
      </w:r>
      <w:r>
        <w:fldChar w:fldCharType="separate"/>
      </w:r>
      <w:r>
        <w:t>2.4 Empirical Review</w:t>
      </w:r>
      <w:r>
        <w:tab/>
      </w:r>
      <w:r>
        <w:fldChar w:fldCharType="begin"/>
      </w:r>
      <w:r>
        <w:instrText xml:space="preserve"> PAGEREF _Toc7653 \h </w:instrText>
      </w:r>
      <w:r>
        <w:fldChar w:fldCharType="separate"/>
      </w:r>
      <w:r>
        <w:t>16</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"_Toc10074" </w:instrText>
      </w:r>
      <w:r>
        <w:fldChar w:fldCharType="separate"/>
      </w:r>
      <w:r>
        <w:t>2.4.1 Perceptions of Public Servants Regarding PSSSF Welfare Benefits Post-Mergers.</w:t>
      </w:r>
      <w:r>
        <w:tab/>
      </w:r>
      <w:r>
        <w:fldChar w:fldCharType="begin"/>
      </w:r>
      <w:r>
        <w:instrText xml:space="preserve"> PAGEREF _Toc10074 \h </w:instrText>
      </w:r>
      <w:r>
        <w:fldChar w:fldCharType="separate"/>
      </w:r>
      <w:r>
        <w:t>16</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"_Toc30524" </w:instrText>
      </w:r>
      <w:r>
        <w:fldChar w:fldCharType="separate"/>
      </w:r>
      <w:r>
        <w:t>2.4.2 Changes in Service Delivery and Administrative Efficiency of the PSSSF Following the Mergers and Acquisitions</w:t>
      </w:r>
      <w:r>
        <w:tab/>
      </w:r>
      <w:r>
        <w:fldChar w:fldCharType="begin"/>
      </w:r>
      <w:r>
        <w:instrText xml:space="preserve"> PAGEREF _Toc30524 \h </w:instrText>
      </w:r>
      <w:r>
        <w:fldChar w:fldCharType="separate"/>
      </w:r>
      <w:r>
        <w:t>17</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"_Toc26500" </w:instrText>
      </w:r>
      <w:r>
        <w:fldChar w:fldCharType="separate"/>
      </w:r>
      <w:r>
        <w:t>2.4.3 Factors Influencing the Effectiveness of the PSSSF in Enhancing the Welfare of Public Servants Post-Merger</w:t>
      </w:r>
      <w:r>
        <w:tab/>
      </w:r>
      <w:r>
        <w:fldChar w:fldCharType="begin"/>
      </w:r>
      <w:r>
        <w:instrText xml:space="preserve"> PAGEREF _Toc26500 \h </w:instrText>
      </w:r>
      <w:r>
        <w:fldChar w:fldCharType="separate"/>
      </w:r>
      <w:r>
        <w:t>19</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"_Toc18648" </w:instrText>
      </w:r>
      <w:r>
        <w:fldChar w:fldCharType="separate"/>
      </w:r>
      <w:r>
        <w:t>2.5 Critique of The Existing Literature Relevant to the Study</w:t>
      </w:r>
      <w:r>
        <w:tab/>
      </w:r>
      <w:r>
        <w:fldChar w:fldCharType="begin"/>
      </w:r>
      <w:r>
        <w:instrText xml:space="preserve"> PAGEREF _Toc18648 \h </w:instrText>
      </w:r>
      <w:r>
        <w:fldChar w:fldCharType="separate"/>
      </w:r>
      <w:r>
        <w:t>21</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"_Toc22661" </w:instrText>
      </w:r>
      <w:r>
        <w:fldChar w:fldCharType="separate"/>
      </w:r>
      <w:r>
        <w:t>2.6 Conceptual Framework</w:t>
      </w:r>
      <w:r>
        <w:tab/>
      </w:r>
      <w:r>
        <w:fldChar w:fldCharType="begin"/>
      </w:r>
      <w:r>
        <w:instrText xml:space="preserve"> PAGEREF _Toc22661 \h </w:instrText>
      </w:r>
      <w:r>
        <w:fldChar w:fldCharType="separate"/>
      </w:r>
      <w:r>
        <w:t>22</w:t>
      </w:r>
      <w:r>
        <w:fldChar w:fldCharType="end"/>
      </w:r>
      <w:r>
        <w:fldChar w:fldCharType="end"/>
      </w:r>
    </w:p>
    <w:p>
      <w:pPr>
        <w:pStyle w:val="23"/>
        <w:tabs>
          <w:tab w:val="right" w:leader="dot" w:pos="8640"/>
        </w:tabs>
        <w:rPr>
          <w:b/>
          <w:bCs/>
        </w:rPr>
      </w:pPr>
      <w:r>
        <w:rPr>
          <w:b/>
          <w:bCs/>
        </w:rPr>
        <w:fldChar w:fldCharType="begin"/>
      </w:r>
      <w:r>
        <w:rPr>
          <w:b/>
          <w:bCs/>
        </w:rPr>
        <w:instrText xml:space="preserve"> HYPERLINK \l "_Toc28658" </w:instrText>
      </w:r>
      <w:r>
        <w:rPr>
          <w:b/>
          <w:bCs/>
        </w:rPr>
        <w:fldChar w:fldCharType="separate"/>
      </w:r>
      <w:r>
        <w:rPr>
          <w:b/>
          <w:bCs/>
        </w:rPr>
        <w:t>CHAPTER THREE</w:t>
      </w:r>
      <w:r>
        <w:rPr>
          <w:b/>
          <w:bCs/>
        </w:rPr>
        <w:tab/>
      </w:r>
      <w:r>
        <w:rPr>
          <w:b/>
          <w:bCs/>
        </w:rPr>
        <w:fldChar w:fldCharType="begin"/>
      </w:r>
      <w:r>
        <w:rPr>
          <w:b/>
          <w:bCs/>
        </w:rPr>
        <w:instrText xml:space="preserve"> PAGEREF _Toc28658 \h </w:instrText>
      </w:r>
      <w:r>
        <w:rPr>
          <w:b/>
          <w:bCs/>
        </w:rPr>
        <w:fldChar w:fldCharType="separate"/>
      </w:r>
      <w:r>
        <w:rPr>
          <w:b/>
          <w:bCs/>
        </w:rPr>
        <w:t>25</w:t>
      </w:r>
      <w:r>
        <w:rPr>
          <w:b/>
          <w:bCs/>
        </w:rPr>
        <w:fldChar w:fldCharType="end"/>
      </w:r>
      <w:r>
        <w:rPr>
          <w:b/>
          <w:bCs/>
        </w:rPr>
        <w:fldChar w:fldCharType="end"/>
      </w:r>
    </w:p>
    <w:p>
      <w:pPr>
        <w:pStyle w:val="23"/>
        <w:tabs>
          <w:tab w:val="right" w:leader="dot" w:pos="8640"/>
        </w:tabs>
        <w:rPr>
          <w:b/>
          <w:bCs/>
        </w:rPr>
      </w:pPr>
      <w:r>
        <w:rPr>
          <w:b/>
          <w:bCs/>
        </w:rPr>
        <w:fldChar w:fldCharType="begin"/>
      </w:r>
      <w:r>
        <w:rPr>
          <w:b/>
          <w:bCs/>
        </w:rPr>
        <w:instrText xml:space="preserve"> HYPERLINK \l "_Toc29186" </w:instrText>
      </w:r>
      <w:r>
        <w:rPr>
          <w:b/>
          <w:bCs/>
        </w:rPr>
        <w:fldChar w:fldCharType="separate"/>
      </w:r>
      <w:r>
        <w:rPr>
          <w:b/>
          <w:bCs/>
        </w:rPr>
        <w:t>METHODOLOGY</w:t>
      </w:r>
      <w:r>
        <w:rPr>
          <w:b/>
          <w:bCs/>
        </w:rPr>
        <w:tab/>
      </w:r>
      <w:r>
        <w:rPr>
          <w:b/>
          <w:bCs/>
        </w:rPr>
        <w:fldChar w:fldCharType="begin"/>
      </w:r>
      <w:r>
        <w:rPr>
          <w:b/>
          <w:bCs/>
        </w:rPr>
        <w:instrText xml:space="preserve"> PAGEREF _Toc29186 \h </w:instrText>
      </w:r>
      <w:r>
        <w:rPr>
          <w:b/>
          <w:bCs/>
        </w:rPr>
        <w:fldChar w:fldCharType="separate"/>
      </w:r>
      <w:r>
        <w:rPr>
          <w:b/>
          <w:bCs/>
        </w:rPr>
        <w:t>25</w:t>
      </w:r>
      <w:r>
        <w:rPr>
          <w:b/>
          <w:bCs/>
        </w:rPr>
        <w:fldChar w:fldCharType="end"/>
      </w:r>
      <w:r>
        <w:rPr>
          <w:b/>
          <w:bCs/>
        </w:rP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"_Toc32702" </w:instrText>
      </w:r>
      <w:r>
        <w:fldChar w:fldCharType="separate"/>
      </w:r>
      <w:r>
        <w:rPr>
          <w:rFonts w:eastAsia="Times New Roman"/>
        </w:rPr>
        <w:t>3.0 Introduction</w:t>
      </w:r>
      <w:r>
        <w:tab/>
      </w:r>
      <w:r>
        <w:fldChar w:fldCharType="begin"/>
      </w:r>
      <w:r>
        <w:instrText xml:space="preserve"> PAGEREF _Toc32702 \h </w:instrText>
      </w:r>
      <w:r>
        <w:fldChar w:fldCharType="separate"/>
      </w:r>
      <w:r>
        <w:t>25</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"_Toc5108" </w:instrText>
      </w:r>
      <w:r>
        <w:fldChar w:fldCharType="separate"/>
      </w:r>
      <w:r>
        <w:rPr>
          <w:rFonts w:eastAsia="Times New Roman"/>
        </w:rPr>
        <w:t>3.1 Study Area</w:t>
      </w:r>
      <w:r>
        <w:tab/>
      </w:r>
      <w:r>
        <w:fldChar w:fldCharType="begin"/>
      </w:r>
      <w:r>
        <w:instrText xml:space="preserve"> PAGEREF _Toc5108 \h </w:instrText>
      </w:r>
      <w:r>
        <w:fldChar w:fldCharType="separate"/>
      </w:r>
      <w:r>
        <w:t>25</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"_Toc29572" </w:instrText>
      </w:r>
      <w:r>
        <w:fldChar w:fldCharType="separate"/>
      </w:r>
      <w:r>
        <w:rPr>
          <w:rFonts w:eastAsia="Times New Roman"/>
        </w:rPr>
        <w:t>3.2 Research Design</w:t>
      </w:r>
      <w:r>
        <w:tab/>
      </w:r>
      <w:r>
        <w:fldChar w:fldCharType="begin"/>
      </w:r>
      <w:r>
        <w:instrText xml:space="preserve"> PAGEREF _Toc29572 \h </w:instrText>
      </w:r>
      <w:r>
        <w:fldChar w:fldCharType="separate"/>
      </w:r>
      <w:r>
        <w:t>26</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"_Toc17137" </w:instrText>
      </w:r>
      <w:r>
        <w:fldChar w:fldCharType="separate"/>
      </w:r>
      <w:r>
        <w:rPr>
          <w:rFonts w:eastAsia="Times New Roman"/>
        </w:rPr>
        <w:t>3.3 Research Approach</w:t>
      </w:r>
      <w:r>
        <w:tab/>
      </w:r>
      <w:r>
        <w:fldChar w:fldCharType="begin"/>
      </w:r>
      <w:r>
        <w:instrText xml:space="preserve"> PAGEREF _Toc17137 \h </w:instrText>
      </w:r>
      <w:r>
        <w:fldChar w:fldCharType="separate"/>
      </w:r>
      <w:r>
        <w:t>27</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"_Toc578" </w:instrText>
      </w:r>
      <w:r>
        <w:fldChar w:fldCharType="separate"/>
      </w:r>
      <w:r>
        <w:rPr>
          <w:rFonts w:eastAsia="Times New Roman"/>
        </w:rPr>
        <w:t>3.4 Sample Size and Sampling Techniques</w:t>
      </w:r>
      <w:r>
        <w:tab/>
      </w:r>
      <w:r>
        <w:fldChar w:fldCharType="begin"/>
      </w:r>
      <w:r>
        <w:instrText xml:space="preserve"> PAGEREF _Toc578 \h </w:instrText>
      </w:r>
      <w:r>
        <w:fldChar w:fldCharType="separate"/>
      </w:r>
      <w:r>
        <w:t>27</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"_Toc5046" </w:instrText>
      </w:r>
      <w:r>
        <w:fldChar w:fldCharType="separate"/>
      </w:r>
      <w:r>
        <w:rPr>
          <w:rFonts w:eastAsia="Times New Roman"/>
        </w:rPr>
        <w:t>3.4.1 Targeted Population</w:t>
      </w:r>
      <w:r>
        <w:tab/>
      </w:r>
      <w:r>
        <w:fldChar w:fldCharType="begin"/>
      </w:r>
      <w:r>
        <w:instrText xml:space="preserve"> PAGEREF _Toc5046 \h </w:instrText>
      </w:r>
      <w:r>
        <w:fldChar w:fldCharType="separate"/>
      </w:r>
      <w:r>
        <w:t>27</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"_Toc10389" </w:instrText>
      </w:r>
      <w:r>
        <w:fldChar w:fldCharType="separate"/>
      </w:r>
      <w:r>
        <w:t>3.4.2 Sample Size</w:t>
      </w:r>
      <w:r>
        <w:tab/>
      </w:r>
      <w:r>
        <w:fldChar w:fldCharType="begin"/>
      </w:r>
      <w:r>
        <w:instrText xml:space="preserve"> PAGEREF _Toc10389 \h </w:instrText>
      </w:r>
      <w:r>
        <w:fldChar w:fldCharType="separate"/>
      </w:r>
      <w:r>
        <w:t>28</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"_Toc10231" </w:instrText>
      </w:r>
      <w:r>
        <w:fldChar w:fldCharType="separate"/>
      </w:r>
      <w:r>
        <w:t>3.5 Types and Sources of Data</w:t>
      </w:r>
      <w:r>
        <w:tab/>
      </w:r>
      <w:r>
        <w:fldChar w:fldCharType="begin"/>
      </w:r>
      <w:r>
        <w:instrText xml:space="preserve"> PAGEREF _Toc10231 \h </w:instrText>
      </w:r>
      <w:r>
        <w:fldChar w:fldCharType="separate"/>
      </w:r>
      <w:r>
        <w:t>31</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"_Toc25280" </w:instrText>
      </w:r>
      <w:r>
        <w:fldChar w:fldCharType="separate"/>
      </w:r>
      <w:r>
        <w:t>3.5.1 Primary Data</w:t>
      </w:r>
      <w:r>
        <w:tab/>
      </w:r>
      <w:r>
        <w:fldChar w:fldCharType="begin"/>
      </w:r>
      <w:r>
        <w:instrText xml:space="preserve"> PAGEREF _Toc25280 \h </w:instrText>
      </w:r>
      <w:r>
        <w:fldChar w:fldCharType="separate"/>
      </w:r>
      <w:r>
        <w:t>31</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"_Toc28358" </w:instrText>
      </w:r>
      <w:r>
        <w:fldChar w:fldCharType="separate"/>
      </w:r>
      <w:r>
        <w:t>3.5.2 Secondary Data</w:t>
      </w:r>
      <w:r>
        <w:tab/>
      </w:r>
      <w:r>
        <w:fldChar w:fldCharType="begin"/>
      </w:r>
      <w:r>
        <w:instrText xml:space="preserve"> PAGEREF _Toc28358 \h </w:instrText>
      </w:r>
      <w:r>
        <w:fldChar w:fldCharType="separate"/>
      </w:r>
      <w:r>
        <w:t>31</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"_Toc8195" </w:instrText>
      </w:r>
      <w:r>
        <w:fldChar w:fldCharType="separate"/>
      </w:r>
      <w:r>
        <w:t>3.6 Data Collection Methods</w:t>
      </w:r>
      <w:r>
        <w:tab/>
      </w:r>
      <w:r>
        <w:fldChar w:fldCharType="begin"/>
      </w:r>
      <w:r>
        <w:instrText xml:space="preserve"> PAGEREF _Toc8195 \h </w:instrText>
      </w:r>
      <w:r>
        <w:fldChar w:fldCharType="separate"/>
      </w:r>
      <w:r>
        <w:t>31</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"_Toc11530" </w:instrText>
      </w:r>
      <w:r>
        <w:fldChar w:fldCharType="separate"/>
      </w:r>
      <w:r>
        <w:t>3.6.1 Documentary Review</w:t>
      </w:r>
      <w:r>
        <w:tab/>
      </w:r>
      <w:r>
        <w:fldChar w:fldCharType="begin"/>
      </w:r>
      <w:r>
        <w:instrText xml:space="preserve"> PAGEREF _Toc11530 \h </w:instrText>
      </w:r>
      <w:r>
        <w:fldChar w:fldCharType="separate"/>
      </w:r>
      <w:r>
        <w:t>31</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"_Toc426" </w:instrText>
      </w:r>
      <w:r>
        <w:fldChar w:fldCharType="separate"/>
      </w:r>
      <w:r>
        <w:t>3.6.2 Interview</w:t>
      </w:r>
      <w:r>
        <w:tab/>
      </w:r>
      <w:r>
        <w:fldChar w:fldCharType="begin"/>
      </w:r>
      <w:r>
        <w:instrText xml:space="preserve"> PAGEREF _Toc426 \h </w:instrText>
      </w:r>
      <w:r>
        <w:fldChar w:fldCharType="separate"/>
      </w:r>
      <w:r>
        <w:t>32</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"_Toc14049" </w:instrText>
      </w:r>
      <w:r>
        <w:fldChar w:fldCharType="separate"/>
      </w:r>
      <w:r>
        <w:t>3.6.3 Questionnaire</w:t>
      </w:r>
      <w:r>
        <w:tab/>
      </w:r>
      <w:r>
        <w:fldChar w:fldCharType="begin"/>
      </w:r>
      <w:r>
        <w:instrText xml:space="preserve"> PAGEREF _Toc14049 \h </w:instrText>
      </w:r>
      <w:r>
        <w:fldChar w:fldCharType="separate"/>
      </w:r>
      <w:r>
        <w:t>32</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"_Toc19309" </w:instrText>
      </w:r>
      <w:r>
        <w:fldChar w:fldCharType="separate"/>
      </w:r>
      <w:r>
        <w:t>3.6.4 Pilot Test Study</w:t>
      </w:r>
      <w:r>
        <w:tab/>
      </w:r>
      <w:r>
        <w:fldChar w:fldCharType="begin"/>
      </w:r>
      <w:r>
        <w:instrText xml:space="preserve"> PAGEREF _Toc19309 \h </w:instrText>
      </w:r>
      <w:r>
        <w:fldChar w:fldCharType="separate"/>
      </w:r>
      <w:r>
        <w:t>32</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"_Toc18657" </w:instrText>
      </w:r>
      <w:r>
        <w:fldChar w:fldCharType="separate"/>
      </w:r>
      <w:r>
        <w:t>3.7 Data Processing and Analysis</w:t>
      </w:r>
      <w:r>
        <w:tab/>
      </w:r>
      <w:r>
        <w:fldChar w:fldCharType="begin"/>
      </w:r>
      <w:r>
        <w:instrText xml:space="preserve"> PAGEREF _Toc18657 \h </w:instrText>
      </w:r>
      <w:r>
        <w:fldChar w:fldCharType="separate"/>
      </w:r>
      <w:r>
        <w:t>32</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"_Toc22570" </w:instrText>
      </w:r>
      <w:r>
        <w:fldChar w:fldCharType="separate"/>
      </w:r>
      <w:r>
        <w:t>3.7.1 Quantitative Data</w:t>
      </w:r>
      <w:r>
        <w:tab/>
      </w:r>
      <w:r>
        <w:fldChar w:fldCharType="begin"/>
      </w:r>
      <w:r>
        <w:instrText xml:space="preserve"> PAGEREF _Toc22570 \h </w:instrText>
      </w:r>
      <w:r>
        <w:fldChar w:fldCharType="separate"/>
      </w:r>
      <w:r>
        <w:t>32</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"_Toc15603" </w:instrText>
      </w:r>
      <w:r>
        <w:fldChar w:fldCharType="separate"/>
      </w:r>
      <w:r>
        <w:t>3.7.2 Qualitative Data</w:t>
      </w:r>
      <w:r>
        <w:tab/>
      </w:r>
      <w:r>
        <w:fldChar w:fldCharType="begin"/>
      </w:r>
      <w:r>
        <w:instrText xml:space="preserve"> PAGEREF _Toc15603 \h </w:instrText>
      </w:r>
      <w:r>
        <w:fldChar w:fldCharType="separate"/>
      </w:r>
      <w:r>
        <w:t>34</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"_Toc11688" </w:instrText>
      </w:r>
      <w:r>
        <w:fldChar w:fldCharType="separate"/>
      </w:r>
      <w:r>
        <w:t>3.8 Validity and Reliability</w:t>
      </w:r>
      <w:r>
        <w:tab/>
      </w:r>
      <w:r>
        <w:fldChar w:fldCharType="begin"/>
      </w:r>
      <w:r>
        <w:instrText xml:space="preserve"> PAGEREF _Toc11688 \h </w:instrText>
      </w:r>
      <w:r>
        <w:fldChar w:fldCharType="separate"/>
      </w:r>
      <w:r>
        <w:t>35</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"_Toc22024" </w:instrText>
      </w:r>
      <w:r>
        <w:fldChar w:fldCharType="separate"/>
      </w:r>
      <w:r>
        <w:t>3.8.1 Validity</w:t>
      </w:r>
      <w:r>
        <w:tab/>
      </w:r>
      <w:r>
        <w:fldChar w:fldCharType="begin"/>
      </w:r>
      <w:r>
        <w:instrText xml:space="preserve"> PAGEREF _Toc22024 \h </w:instrText>
      </w:r>
      <w:r>
        <w:fldChar w:fldCharType="separate"/>
      </w:r>
      <w:r>
        <w:t>35</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"_Toc8603" </w:instrText>
      </w:r>
      <w:r>
        <w:fldChar w:fldCharType="separate"/>
      </w:r>
      <w:r>
        <w:t>3.8.2 Reliability</w:t>
      </w:r>
      <w:r>
        <w:tab/>
      </w:r>
      <w:r>
        <w:fldChar w:fldCharType="begin"/>
      </w:r>
      <w:r>
        <w:instrText xml:space="preserve"> PAGEREF _Toc8603 \h </w:instrText>
      </w:r>
      <w:r>
        <w:fldChar w:fldCharType="separate"/>
      </w:r>
      <w:r>
        <w:t>36</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"_Toc5181" </w:instrText>
      </w:r>
      <w:r>
        <w:fldChar w:fldCharType="separate"/>
      </w:r>
      <w:r>
        <w:t>3.8.3 Research Model</w:t>
      </w:r>
      <w:r>
        <w:tab/>
      </w:r>
      <w:r>
        <w:fldChar w:fldCharType="begin"/>
      </w:r>
      <w:r>
        <w:instrText xml:space="preserve"> PAGEREF _Toc5181 \h </w:instrText>
      </w:r>
      <w:r>
        <w:fldChar w:fldCharType="separate"/>
      </w:r>
      <w:r>
        <w:t>36</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"_Toc4600" </w:instrText>
      </w:r>
      <w:r>
        <w:fldChar w:fldCharType="separate"/>
      </w:r>
      <w:r>
        <w:t>3.9 Diagnostic Tests</w:t>
      </w:r>
      <w:r>
        <w:tab/>
      </w:r>
      <w:r>
        <w:fldChar w:fldCharType="begin"/>
      </w:r>
      <w:r>
        <w:instrText xml:space="preserve"> PAGEREF _Toc4600 \h </w:instrText>
      </w:r>
      <w:r>
        <w:fldChar w:fldCharType="separate"/>
      </w:r>
      <w:r>
        <w:t>36</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"_Toc22223" </w:instrText>
      </w:r>
      <w:r>
        <w:fldChar w:fldCharType="separate"/>
      </w:r>
      <w:r>
        <w:t>3.9.1 Normality Test</w:t>
      </w:r>
      <w:r>
        <w:tab/>
      </w:r>
      <w:r>
        <w:fldChar w:fldCharType="begin"/>
      </w:r>
      <w:r>
        <w:instrText xml:space="preserve"> PAGEREF _Toc22223 \h </w:instrText>
      </w:r>
      <w:r>
        <w:fldChar w:fldCharType="separate"/>
      </w:r>
      <w:r>
        <w:t>36</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"_Toc20838" </w:instrText>
      </w:r>
      <w:r>
        <w:fldChar w:fldCharType="separate"/>
      </w:r>
      <w:r>
        <w:t>3.9.2 Heteroskedasticity Test</w:t>
      </w:r>
      <w:r>
        <w:tab/>
      </w:r>
      <w:r>
        <w:fldChar w:fldCharType="begin"/>
      </w:r>
      <w:r>
        <w:instrText xml:space="preserve"> PAGEREF _Toc20838 \h </w:instrText>
      </w:r>
      <w:r>
        <w:fldChar w:fldCharType="separate"/>
      </w:r>
      <w:r>
        <w:t>37</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"_Toc15551" </w:instrText>
      </w:r>
      <w:r>
        <w:fldChar w:fldCharType="separate"/>
      </w:r>
      <w:r>
        <w:t>3.9.3 Multicollinearity Test</w:t>
      </w:r>
      <w:r>
        <w:tab/>
      </w:r>
      <w:r>
        <w:fldChar w:fldCharType="begin"/>
      </w:r>
      <w:r>
        <w:instrText xml:space="preserve"> PAGEREF _Toc15551 \h </w:instrText>
      </w:r>
      <w:r>
        <w:fldChar w:fldCharType="separate"/>
      </w:r>
      <w:r>
        <w:t>37</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"_Toc1542" </w:instrText>
      </w:r>
      <w:r>
        <w:fldChar w:fldCharType="separate"/>
      </w:r>
      <w:r>
        <w:t>3.9.4 Linearity Test</w:t>
      </w:r>
      <w:r>
        <w:tab/>
      </w:r>
      <w:r>
        <w:fldChar w:fldCharType="begin"/>
      </w:r>
      <w:r>
        <w:instrText xml:space="preserve"> PAGEREF _Toc1542 \h </w:instrText>
      </w:r>
      <w:r>
        <w:fldChar w:fldCharType="separate"/>
      </w:r>
      <w:r>
        <w:t>37</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"_Toc29227" </w:instrText>
      </w:r>
      <w:r>
        <w:fldChar w:fldCharType="separate"/>
      </w:r>
      <w:r>
        <w:t>3.10 Ethical Considerations</w:t>
      </w:r>
      <w:r>
        <w:tab/>
      </w:r>
      <w:r>
        <w:fldChar w:fldCharType="begin"/>
      </w:r>
      <w:r>
        <w:instrText xml:space="preserve"> PAGEREF _Toc29227 \h </w:instrText>
      </w:r>
      <w:r>
        <w:fldChar w:fldCharType="separate"/>
      </w:r>
      <w:r>
        <w:t>37</w:t>
      </w:r>
      <w:r>
        <w:fldChar w:fldCharType="end"/>
      </w:r>
      <w:r>
        <w:fldChar w:fldCharType="end"/>
      </w:r>
    </w:p>
    <w:p>
      <w:pPr>
        <w:pStyle w:val="23"/>
        <w:tabs>
          <w:tab w:val="right" w:leader="dot" w:pos="8640"/>
        </w:tabs>
        <w:rPr>
          <w:b/>
          <w:bCs/>
        </w:rPr>
      </w:pPr>
      <w:r>
        <w:rPr>
          <w:b/>
          <w:bCs/>
        </w:rPr>
        <w:fldChar w:fldCharType="begin"/>
      </w:r>
      <w:r>
        <w:rPr>
          <w:b/>
          <w:bCs/>
        </w:rPr>
        <w:instrText xml:space="preserve"> HYPERLINK \l "_Toc22524" </w:instrText>
      </w:r>
      <w:r>
        <w:rPr>
          <w:b/>
          <w:bCs/>
        </w:rPr>
        <w:fldChar w:fldCharType="separate"/>
      </w:r>
      <w:r>
        <w:rPr>
          <w:b/>
          <w:bCs/>
        </w:rPr>
        <w:t>CHAPTER FOUR</w:t>
      </w:r>
      <w:r>
        <w:rPr>
          <w:b/>
          <w:bCs/>
        </w:rPr>
        <w:tab/>
      </w:r>
      <w:r>
        <w:rPr>
          <w:b/>
          <w:bCs/>
        </w:rPr>
        <w:fldChar w:fldCharType="begin"/>
      </w:r>
      <w:r>
        <w:rPr>
          <w:b/>
          <w:bCs/>
        </w:rPr>
        <w:instrText xml:space="preserve"> PAGEREF _Toc22524 \h </w:instrText>
      </w:r>
      <w:r>
        <w:rPr>
          <w:b/>
          <w:bCs/>
        </w:rPr>
        <w:fldChar w:fldCharType="separate"/>
      </w:r>
      <w:r>
        <w:rPr>
          <w:b/>
          <w:bCs/>
        </w:rPr>
        <w:t>38</w:t>
      </w:r>
      <w:r>
        <w:rPr>
          <w:b/>
          <w:bCs/>
        </w:rPr>
        <w:fldChar w:fldCharType="end"/>
      </w:r>
      <w:r>
        <w:rPr>
          <w:b/>
          <w:bCs/>
        </w:rPr>
        <w:fldChar w:fldCharType="end"/>
      </w:r>
    </w:p>
    <w:p>
      <w:pPr>
        <w:pStyle w:val="23"/>
        <w:tabs>
          <w:tab w:val="right" w:leader="dot" w:pos="8640"/>
        </w:tabs>
        <w:rPr>
          <w:b/>
          <w:bCs/>
        </w:rPr>
      </w:pPr>
      <w:r>
        <w:rPr>
          <w:b/>
          <w:bCs/>
        </w:rPr>
        <w:fldChar w:fldCharType="begin"/>
      </w:r>
      <w:r>
        <w:rPr>
          <w:b/>
          <w:bCs/>
        </w:rPr>
        <w:instrText xml:space="preserve"> HYPERLINK \l "_Toc24891" </w:instrText>
      </w:r>
      <w:r>
        <w:rPr>
          <w:b/>
          <w:bCs/>
        </w:rPr>
        <w:fldChar w:fldCharType="separate"/>
      </w:r>
      <w:r>
        <w:rPr>
          <w:b/>
          <w:bCs/>
        </w:rPr>
        <w:t>FINDINGS AND DISCUSSION</w:t>
      </w:r>
      <w:r>
        <w:rPr>
          <w:b/>
          <w:bCs/>
        </w:rPr>
        <w:tab/>
      </w:r>
      <w:r>
        <w:rPr>
          <w:b/>
          <w:bCs/>
        </w:rPr>
        <w:fldChar w:fldCharType="begin"/>
      </w:r>
      <w:r>
        <w:rPr>
          <w:b/>
          <w:bCs/>
        </w:rPr>
        <w:instrText xml:space="preserve"> PAGEREF _Toc24891 \h </w:instrText>
      </w:r>
      <w:r>
        <w:rPr>
          <w:b/>
          <w:bCs/>
        </w:rPr>
        <w:fldChar w:fldCharType="separate"/>
      </w:r>
      <w:r>
        <w:rPr>
          <w:b/>
          <w:bCs/>
        </w:rPr>
        <w:t>38</w:t>
      </w:r>
      <w:r>
        <w:rPr>
          <w:b/>
          <w:bCs/>
        </w:rPr>
        <w:fldChar w:fldCharType="end"/>
      </w:r>
      <w:r>
        <w:rPr>
          <w:b/>
          <w:bCs/>
        </w:rP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"_Toc10523" </w:instrText>
      </w:r>
      <w:r>
        <w:fldChar w:fldCharType="separate"/>
      </w:r>
      <w:r>
        <w:t>4.0 Introduction</w:t>
      </w:r>
      <w:r>
        <w:tab/>
      </w:r>
      <w:r>
        <w:fldChar w:fldCharType="begin"/>
      </w:r>
      <w:r>
        <w:instrText xml:space="preserve"> PAGEREF _Toc10523 \h </w:instrText>
      </w:r>
      <w:r>
        <w:fldChar w:fldCharType="separate"/>
      </w:r>
      <w:r>
        <w:t>38</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"_Toc11158" </w:instrText>
      </w:r>
      <w:r>
        <w:fldChar w:fldCharType="separate"/>
      </w:r>
      <w:r>
        <w:t>4.1 Demographic Characteristics of The Participants</w:t>
      </w:r>
      <w:r>
        <w:tab/>
      </w:r>
      <w:r>
        <w:fldChar w:fldCharType="begin"/>
      </w:r>
      <w:r>
        <w:instrText xml:space="preserve"> PAGEREF _Toc11158 \h </w:instrText>
      </w:r>
      <w:r>
        <w:fldChar w:fldCharType="separate"/>
      </w:r>
      <w:r>
        <w:t>38</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"_Toc18181" </w:instrText>
      </w:r>
      <w:r>
        <w:fldChar w:fldCharType="separate"/>
      </w:r>
      <w:r>
        <w:t>4.2 Perceptions of Public Servants Regarding PSSSF Welfare Benefits Post-Mergers</w:t>
      </w:r>
      <w:r>
        <w:tab/>
      </w:r>
      <w:r>
        <w:fldChar w:fldCharType="begin"/>
      </w:r>
      <w:r>
        <w:instrText xml:space="preserve"> PAGEREF _Toc18181 \h </w:instrText>
      </w:r>
      <w:r>
        <w:fldChar w:fldCharType="separate"/>
      </w:r>
      <w:r>
        <w:t>41</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"_Toc14471" </w:instrText>
      </w:r>
      <w:r>
        <w:fldChar w:fldCharType="separate"/>
      </w:r>
      <w:r>
        <w:t>4.3 Changes in Service Delivery and Administrative Efficiency of the PSSSF Following the Mergers and Acquisitions</w:t>
      </w:r>
      <w:r>
        <w:tab/>
      </w:r>
      <w:r>
        <w:fldChar w:fldCharType="begin"/>
      </w:r>
      <w:r>
        <w:instrText xml:space="preserve"> PAGEREF _Toc14471 \h </w:instrText>
      </w:r>
      <w:r>
        <w:fldChar w:fldCharType="separate"/>
      </w:r>
      <w:r>
        <w:t>46</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"_Toc21316" </w:instrText>
      </w:r>
      <w:r>
        <w:fldChar w:fldCharType="separate"/>
      </w:r>
      <w:r>
        <w:t>4.3.1 Service Delivery Rating</w:t>
      </w:r>
      <w:r>
        <w:tab/>
      </w:r>
      <w:r>
        <w:fldChar w:fldCharType="begin"/>
      </w:r>
      <w:r>
        <w:instrText xml:space="preserve"> PAGEREF _Toc21316 \h </w:instrText>
      </w:r>
      <w:r>
        <w:fldChar w:fldCharType="separate"/>
      </w:r>
      <w:r>
        <w:t>46</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"_Toc17715" </w:instrText>
      </w:r>
      <w:r>
        <w:fldChar w:fldCharType="separate"/>
      </w:r>
      <w:r>
        <w:t>4.3.2 Administrative Efficiency Changes</w:t>
      </w:r>
      <w:r>
        <w:tab/>
      </w:r>
      <w:r>
        <w:fldChar w:fldCharType="begin"/>
      </w:r>
      <w:r>
        <w:instrText xml:space="preserve"> PAGEREF _Toc17715 \h </w:instrText>
      </w:r>
      <w:r>
        <w:fldChar w:fldCharType="separate"/>
      </w:r>
      <w:r>
        <w:t>47</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"_Toc14625" </w:instrText>
      </w:r>
      <w:r>
        <w:fldChar w:fldCharType="separate"/>
      </w:r>
      <w:r>
        <w:t>4.3.3 Improvements in Service Delivery</w:t>
      </w:r>
      <w:r>
        <w:tab/>
      </w:r>
      <w:r>
        <w:fldChar w:fldCharType="begin"/>
      </w:r>
      <w:r>
        <w:instrText xml:space="preserve"> PAGEREF _Toc14625 \h </w:instrText>
      </w:r>
      <w:r>
        <w:fldChar w:fldCharType="separate"/>
      </w:r>
      <w:r>
        <w:t>48</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"_Toc3984" </w:instrText>
      </w:r>
      <w:r>
        <w:fldChar w:fldCharType="separate"/>
      </w:r>
      <w:r>
        <w:t>4.3.4 Administrative Process Satisfaction</w:t>
      </w:r>
      <w:r>
        <w:tab/>
      </w:r>
      <w:r>
        <w:fldChar w:fldCharType="begin"/>
      </w:r>
      <w:r>
        <w:instrText xml:space="preserve"> PAGEREF _Toc3984 \h </w:instrText>
      </w:r>
      <w:r>
        <w:fldChar w:fldCharType="separate"/>
      </w:r>
      <w:r>
        <w:t>49</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"_Toc1866" </w:instrText>
      </w:r>
      <w:r>
        <w:fldChar w:fldCharType="separate"/>
      </w:r>
      <w:r>
        <w:t>4.3.5 Digital Service Improvements</w:t>
      </w:r>
      <w:r>
        <w:tab/>
      </w:r>
      <w:r>
        <w:fldChar w:fldCharType="begin"/>
      </w:r>
      <w:r>
        <w:instrText xml:space="preserve"> PAGEREF _Toc1866 \h </w:instrText>
      </w:r>
      <w:r>
        <w:fldChar w:fldCharType="separate"/>
      </w:r>
      <w:r>
        <w:t>50</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"_Toc14842" </w:instrText>
      </w:r>
      <w:r>
        <w:fldChar w:fldCharType="separate"/>
      </w:r>
      <w:r>
        <w:t>4.3.6 Customer Support Satisfaction</w:t>
      </w:r>
      <w:r>
        <w:tab/>
      </w:r>
      <w:r>
        <w:fldChar w:fldCharType="begin"/>
      </w:r>
      <w:r>
        <w:instrText xml:space="preserve"> PAGEREF _Toc14842 \h </w:instrText>
      </w:r>
      <w:r>
        <w:fldChar w:fldCharType="separate"/>
      </w:r>
      <w:r>
        <w:t>50</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"_Toc29567" </w:instrText>
      </w:r>
      <w:r>
        <w:fldChar w:fldCharType="separate"/>
      </w:r>
      <w:r>
        <w:t>4.4 Analysis of Factors Influencing the Effectiveness of the PSSSF</w:t>
      </w:r>
      <w:r>
        <w:tab/>
      </w:r>
      <w:r>
        <w:fldChar w:fldCharType="begin"/>
      </w:r>
      <w:r>
        <w:instrText xml:space="preserve"> PAGEREF _Toc29567 \h </w:instrText>
      </w:r>
      <w:r>
        <w:fldChar w:fldCharType="separate"/>
      </w:r>
      <w:r>
        <w:t>51</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"_Toc13471" </w:instrText>
      </w:r>
      <w:r>
        <w:fldChar w:fldCharType="separate"/>
      </w:r>
      <w:r>
        <w:t>4.4.1 Governance</w:t>
      </w:r>
      <w:r>
        <w:tab/>
      </w:r>
      <w:r>
        <w:fldChar w:fldCharType="begin"/>
      </w:r>
      <w:r>
        <w:instrText xml:space="preserve"> PAGEREF _Toc13471 \h </w:instrText>
      </w:r>
      <w:r>
        <w:fldChar w:fldCharType="separate"/>
      </w:r>
      <w:r>
        <w:t>51</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"_Toc16612" </w:instrText>
      </w:r>
      <w:r>
        <w:fldChar w:fldCharType="separate"/>
      </w:r>
      <w:r>
        <w:t>4.4.2 Financial Management</w:t>
      </w:r>
      <w:r>
        <w:tab/>
      </w:r>
      <w:r>
        <w:fldChar w:fldCharType="begin"/>
      </w:r>
      <w:r>
        <w:instrText xml:space="preserve"> PAGEREF _Toc16612 \h </w:instrText>
      </w:r>
      <w:r>
        <w:fldChar w:fldCharType="separate"/>
      </w:r>
      <w:r>
        <w:t>52</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"_Toc8982" </w:instrText>
      </w:r>
      <w:r>
        <w:fldChar w:fldCharType="separate"/>
      </w:r>
      <w:r>
        <w:t>4.4.3 Stakeholder Engagement</w:t>
      </w:r>
      <w:r>
        <w:tab/>
      </w:r>
      <w:r>
        <w:fldChar w:fldCharType="begin"/>
      </w:r>
      <w:r>
        <w:instrText xml:space="preserve"> PAGEREF _Toc8982 \h </w:instrText>
      </w:r>
      <w:r>
        <w:fldChar w:fldCharType="separate"/>
      </w:r>
      <w:r>
        <w:t>53</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"_Toc17836" </w:instrText>
      </w:r>
      <w:r>
        <w:fldChar w:fldCharType="separate"/>
      </w:r>
      <w:r>
        <w:t>4.4.4 Communication Strategies</w:t>
      </w:r>
      <w:r>
        <w:tab/>
      </w:r>
      <w:r>
        <w:fldChar w:fldCharType="begin"/>
      </w:r>
      <w:r>
        <w:instrText xml:space="preserve"> PAGEREF _Toc17836 \h </w:instrText>
      </w:r>
      <w:r>
        <w:fldChar w:fldCharType="separate"/>
      </w:r>
      <w:r>
        <w:t>54</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"_Toc10203" </w:instrText>
      </w:r>
      <w:r>
        <w:fldChar w:fldCharType="separate"/>
      </w:r>
      <w:r>
        <w:rPr>
          <w:rFonts w:eastAsia="SimSun"/>
        </w:rPr>
        <w:t>4.5 Multiple Regression Analysis</w:t>
      </w:r>
      <w:r>
        <w:tab/>
      </w:r>
      <w:r>
        <w:fldChar w:fldCharType="begin"/>
      </w:r>
      <w:r>
        <w:instrText xml:space="preserve"> PAGEREF _Toc10203 \h </w:instrText>
      </w:r>
      <w:r>
        <w:fldChar w:fldCharType="separate"/>
      </w:r>
      <w:r>
        <w:t>54</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"_Toc29484" </w:instrText>
      </w:r>
      <w:r>
        <w:fldChar w:fldCharType="separate"/>
      </w:r>
      <w:r>
        <w:rPr>
          <w:rFonts w:eastAsia="Times New Roman"/>
        </w:rPr>
        <w:t>4.5.1 Normality Test</w:t>
      </w:r>
      <w:r>
        <w:tab/>
      </w:r>
      <w:r>
        <w:fldChar w:fldCharType="begin"/>
      </w:r>
      <w:r>
        <w:instrText xml:space="preserve"> PAGEREF _Toc29484 \h </w:instrText>
      </w:r>
      <w:r>
        <w:fldChar w:fldCharType="separate"/>
      </w:r>
      <w:r>
        <w:t>54</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"_Toc3211" </w:instrText>
      </w:r>
      <w:r>
        <w:fldChar w:fldCharType="separate"/>
      </w:r>
      <w:r>
        <w:rPr>
          <w:rFonts w:eastAsia="Times New Roman"/>
        </w:rPr>
        <w:t>4.5.2 Homoscedasticity Test</w:t>
      </w:r>
      <w:r>
        <w:tab/>
      </w:r>
      <w:r>
        <w:fldChar w:fldCharType="begin"/>
      </w:r>
      <w:r>
        <w:instrText xml:space="preserve"> PAGEREF _Toc3211 \h </w:instrText>
      </w:r>
      <w:r>
        <w:fldChar w:fldCharType="separate"/>
      </w:r>
      <w:r>
        <w:t>55</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"_Toc7080" </w:instrText>
      </w:r>
      <w:r>
        <w:fldChar w:fldCharType="separate"/>
      </w:r>
      <w:r>
        <w:rPr>
          <w:rFonts w:eastAsia="Times New Roman"/>
        </w:rPr>
        <w:t>4.5.3 Multicollinearity Test</w:t>
      </w:r>
      <w:r>
        <w:tab/>
      </w:r>
      <w:r>
        <w:fldChar w:fldCharType="begin"/>
      </w:r>
      <w:r>
        <w:instrText xml:space="preserve"> PAGEREF _Toc7080 \h </w:instrText>
      </w:r>
      <w:r>
        <w:fldChar w:fldCharType="separate"/>
      </w:r>
      <w:r>
        <w:t>56</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"_Toc13584" </w:instrText>
      </w:r>
      <w:r>
        <w:fldChar w:fldCharType="separate"/>
      </w:r>
      <w:r>
        <w:rPr>
          <w:rFonts w:eastAsia="Times New Roman"/>
        </w:rPr>
        <w:t>4.5.4 Outliers</w:t>
      </w:r>
      <w:r>
        <w:tab/>
      </w:r>
      <w:r>
        <w:fldChar w:fldCharType="begin"/>
      </w:r>
      <w:r>
        <w:instrText xml:space="preserve"> PAGEREF _Toc13584 \h </w:instrText>
      </w:r>
      <w:r>
        <w:fldChar w:fldCharType="separate"/>
      </w:r>
      <w:r>
        <w:t>57</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"_Toc19280" </w:instrText>
      </w:r>
      <w:r>
        <w:fldChar w:fldCharType="separate"/>
      </w:r>
      <w:r>
        <w:t>4.5.3 Multicollinearity Test</w:t>
      </w:r>
      <w:r>
        <w:tab/>
      </w:r>
      <w:r>
        <w:fldChar w:fldCharType="begin"/>
      </w:r>
      <w:r>
        <w:instrText xml:space="preserve"> PAGEREF _Toc19280 \h </w:instrText>
      </w:r>
      <w:r>
        <w:fldChar w:fldCharType="separate"/>
      </w:r>
      <w:r>
        <w:t>58</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"_Toc32028" </w:instrText>
      </w:r>
      <w:r>
        <w:fldChar w:fldCharType="separate"/>
      </w:r>
      <w:r>
        <w:t>4.5.4 Outliers</w:t>
      </w:r>
      <w:r>
        <w:tab/>
      </w:r>
      <w:r>
        <w:fldChar w:fldCharType="begin"/>
      </w:r>
      <w:r>
        <w:instrText xml:space="preserve"> PAGEREF _Toc32028 \h </w:instrText>
      </w:r>
      <w:r>
        <w:fldChar w:fldCharType="separate"/>
      </w:r>
      <w:r>
        <w:t>58</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"_Toc30271" </w:instrText>
      </w:r>
      <w:r>
        <w:fldChar w:fldCharType="separate"/>
      </w:r>
      <w:r>
        <w:t>4.5.6 Regression Analysis</w:t>
      </w:r>
      <w:r>
        <w:tab/>
      </w:r>
      <w:r>
        <w:fldChar w:fldCharType="begin"/>
      </w:r>
      <w:r>
        <w:instrText xml:space="preserve"> PAGEREF _Toc30271 \h </w:instrText>
      </w:r>
      <w:r>
        <w:fldChar w:fldCharType="separate"/>
      </w:r>
      <w:r>
        <w:t>60</w:t>
      </w:r>
      <w:r>
        <w:fldChar w:fldCharType="end"/>
      </w:r>
      <w:r>
        <w:fldChar w:fldCharType="end"/>
      </w:r>
    </w:p>
    <w:p>
      <w:pPr>
        <w:pStyle w:val="25"/>
        <w:keepNext w:val="0"/>
        <w:keepLines w:val="0"/>
        <w:pageBreakBefore w:val="0"/>
        <w:widowControl/>
        <w:tabs>
          <w:tab w:val="right" w:leader="dot" w:pos="8640"/>
        </w:tabs>
        <w:kinsoku/>
        <w:wordWrap/>
        <w:overflowPunct/>
        <w:topLinePunct w:val="0"/>
        <w:autoSpaceDE/>
        <w:autoSpaceDN/>
        <w:bidi w:val="0"/>
        <w:adjustRightInd/>
        <w:snapToGrid/>
        <w:spacing w:before="0" w:after="0"/>
        <w:textAlignment w:val="auto"/>
      </w:pPr>
      <w:r>
        <w:fldChar w:fldCharType="begin"/>
      </w:r>
      <w:r>
        <w:instrText xml:space="preserve"> HYPERLINK \l "_Toc23214" </w:instrText>
      </w:r>
      <w:r>
        <w:fldChar w:fldCharType="separate"/>
      </w:r>
      <w:r>
        <w:t>4.5.7. Regression Analysis Results</w:t>
      </w:r>
      <w:r>
        <w:tab/>
      </w:r>
      <w:r>
        <w:fldChar w:fldCharType="begin"/>
      </w:r>
      <w:r>
        <w:instrText xml:space="preserve"> PAGEREF _Toc23214 \h </w:instrText>
      </w:r>
      <w:r>
        <w:fldChar w:fldCharType="separate"/>
      </w:r>
      <w:r>
        <w:t>60</w:t>
      </w:r>
      <w:r>
        <w:fldChar w:fldCharType="end"/>
      </w:r>
      <w:r>
        <w:fldChar w:fldCharType="end"/>
      </w:r>
    </w:p>
    <w:p>
      <w:pPr>
        <w:pStyle w:val="23"/>
        <w:tabs>
          <w:tab w:val="right" w:leader="dot" w:pos="8640"/>
        </w:tabs>
        <w:rPr>
          <w:b/>
          <w:bCs/>
        </w:rPr>
      </w:pPr>
      <w:r>
        <w:rPr>
          <w:b/>
          <w:bCs/>
        </w:rPr>
        <w:fldChar w:fldCharType="begin"/>
      </w:r>
      <w:r>
        <w:rPr>
          <w:b/>
          <w:bCs/>
        </w:rPr>
        <w:instrText xml:space="preserve"> HYPERLINK \l "_Toc2954" </w:instrText>
      </w:r>
      <w:r>
        <w:rPr>
          <w:b/>
          <w:bCs/>
        </w:rPr>
        <w:fldChar w:fldCharType="separate"/>
      </w:r>
      <w:r>
        <w:rPr>
          <w:rFonts w:eastAsia="SimSun"/>
          <w:b/>
          <w:bCs/>
          <w:szCs w:val="28"/>
        </w:rPr>
        <w:t>CHAPTER FIVE</w:t>
      </w:r>
      <w:r>
        <w:rPr>
          <w:b/>
          <w:bCs/>
        </w:rPr>
        <w:tab/>
      </w:r>
      <w:r>
        <w:rPr>
          <w:b/>
          <w:bCs/>
        </w:rPr>
        <w:fldChar w:fldCharType="begin"/>
      </w:r>
      <w:r>
        <w:rPr>
          <w:b/>
          <w:bCs/>
        </w:rPr>
        <w:instrText xml:space="preserve"> PAGEREF _Toc2954 \h </w:instrText>
      </w:r>
      <w:r>
        <w:rPr>
          <w:b/>
          <w:bCs/>
        </w:rPr>
        <w:fldChar w:fldCharType="separate"/>
      </w:r>
      <w:r>
        <w:rPr>
          <w:b/>
          <w:bCs/>
        </w:rPr>
        <w:t>62</w:t>
      </w:r>
      <w:r>
        <w:rPr>
          <w:b/>
          <w:bCs/>
        </w:rPr>
        <w:fldChar w:fldCharType="end"/>
      </w:r>
      <w:r>
        <w:rPr>
          <w:b/>
          <w:bCs/>
        </w:rPr>
        <w:fldChar w:fldCharType="end"/>
      </w:r>
    </w:p>
    <w:p>
      <w:pPr>
        <w:pStyle w:val="23"/>
        <w:tabs>
          <w:tab w:val="right" w:leader="dot" w:pos="8640"/>
        </w:tabs>
        <w:rPr>
          <w:b/>
          <w:bCs/>
        </w:rPr>
      </w:pPr>
      <w:r>
        <w:rPr>
          <w:b/>
          <w:bCs/>
        </w:rPr>
        <w:fldChar w:fldCharType="begin"/>
      </w:r>
      <w:r>
        <w:rPr>
          <w:b/>
          <w:bCs/>
        </w:rPr>
        <w:instrText xml:space="preserve"> HYPERLINK \l "_Toc13676" </w:instrText>
      </w:r>
      <w:r>
        <w:rPr>
          <w:b/>
          <w:bCs/>
        </w:rPr>
        <w:fldChar w:fldCharType="separate"/>
      </w:r>
      <w:r>
        <w:rPr>
          <w:rFonts w:eastAsia="SimSun"/>
          <w:b/>
          <w:bCs/>
          <w:szCs w:val="28"/>
        </w:rPr>
        <w:t>SUMMARY OF FINDINGS, CONCLUSIONS, AND RECOMMENDATIONS</w:t>
      </w:r>
      <w:r>
        <w:rPr>
          <w:b/>
          <w:bCs/>
        </w:rPr>
        <w:tab/>
      </w:r>
      <w:r>
        <w:rPr>
          <w:b/>
          <w:bCs/>
        </w:rPr>
        <w:fldChar w:fldCharType="begin"/>
      </w:r>
      <w:r>
        <w:rPr>
          <w:b/>
          <w:bCs/>
        </w:rPr>
        <w:instrText xml:space="preserve"> PAGEREF _Toc13676 \h </w:instrText>
      </w:r>
      <w:r>
        <w:rPr>
          <w:b/>
          <w:bCs/>
        </w:rPr>
        <w:fldChar w:fldCharType="separate"/>
      </w:r>
      <w:r>
        <w:rPr>
          <w:b/>
          <w:bCs/>
        </w:rPr>
        <w:t>62</w:t>
      </w:r>
      <w:r>
        <w:rPr>
          <w:b/>
          <w:bCs/>
        </w:rPr>
        <w:fldChar w:fldCharType="end"/>
      </w:r>
      <w:r>
        <w:rPr>
          <w:b/>
          <w:bCs/>
        </w:rP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"_Toc15766" </w:instrText>
      </w:r>
      <w:r>
        <w:fldChar w:fldCharType="separate"/>
      </w:r>
      <w:r>
        <w:rPr>
          <w:rFonts w:eastAsia="SimSun"/>
          <w:bCs/>
          <w:szCs w:val="26"/>
        </w:rPr>
        <w:t>5.1 Introduction</w:t>
      </w:r>
      <w:r>
        <w:tab/>
      </w:r>
      <w:r>
        <w:fldChar w:fldCharType="begin"/>
      </w:r>
      <w:r>
        <w:instrText xml:space="preserve"> PAGEREF _Toc15766 \h </w:instrText>
      </w:r>
      <w:r>
        <w:fldChar w:fldCharType="separate"/>
      </w:r>
      <w:r>
        <w:t>62</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"_Toc8725" </w:instrText>
      </w:r>
      <w:r>
        <w:fldChar w:fldCharType="separate"/>
      </w:r>
      <w:r>
        <w:rPr>
          <w:rFonts w:eastAsia="SimSun"/>
          <w:bCs/>
          <w:szCs w:val="26"/>
        </w:rPr>
        <w:t>5.2 Summary of Findings</w:t>
      </w:r>
      <w:r>
        <w:tab/>
      </w:r>
      <w:r>
        <w:fldChar w:fldCharType="begin"/>
      </w:r>
      <w:r>
        <w:instrText xml:space="preserve"> PAGEREF _Toc8725 \h </w:instrText>
      </w:r>
      <w:r>
        <w:fldChar w:fldCharType="separate"/>
      </w:r>
      <w:r>
        <w:t>62</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"_Toc4690" </w:instrText>
      </w:r>
      <w:r>
        <w:fldChar w:fldCharType="separate"/>
      </w:r>
      <w:r>
        <w:rPr>
          <w:rFonts w:eastAsia="SimSun"/>
          <w:bCs/>
          <w:szCs w:val="26"/>
        </w:rPr>
        <w:t>5.2.1 Perceptions of Public Servants Regarding PSSSF Welfare Benefits Post-Mergers</w:t>
      </w:r>
      <w:r>
        <w:tab/>
      </w:r>
      <w:r>
        <w:fldChar w:fldCharType="begin"/>
      </w:r>
      <w:r>
        <w:instrText xml:space="preserve"> PAGEREF _Toc4690 \h </w:instrText>
      </w:r>
      <w:r>
        <w:fldChar w:fldCharType="separate"/>
      </w:r>
      <w:r>
        <w:t>62</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"_Toc27235" </w:instrText>
      </w:r>
      <w:r>
        <w:fldChar w:fldCharType="separate"/>
      </w:r>
      <w:r>
        <w:rPr>
          <w:rFonts w:eastAsia="SimSun"/>
          <w:bCs/>
          <w:szCs w:val="26"/>
        </w:rPr>
        <w:t>5.2.3 Factors Influencing the Effectiveness of the PSSSF</w:t>
      </w:r>
      <w:r>
        <w:tab/>
      </w:r>
      <w:r>
        <w:fldChar w:fldCharType="begin"/>
      </w:r>
      <w:r>
        <w:instrText xml:space="preserve"> PAGEREF _Toc27235 \h </w:instrText>
      </w:r>
      <w:r>
        <w:fldChar w:fldCharType="separate"/>
      </w:r>
      <w:r>
        <w:t>63</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"_Toc8709" </w:instrText>
      </w:r>
      <w:r>
        <w:fldChar w:fldCharType="separate"/>
      </w:r>
      <w:r>
        <w:rPr>
          <w:rFonts w:eastAsia="SimSun"/>
          <w:bCs/>
          <w:szCs w:val="26"/>
        </w:rPr>
        <w:t>5.3 Conclusion of the Study</w:t>
      </w:r>
      <w:r>
        <w:tab/>
      </w:r>
      <w:r>
        <w:fldChar w:fldCharType="begin"/>
      </w:r>
      <w:r>
        <w:instrText xml:space="preserve"> PAGEREF _Toc8709 \h </w:instrText>
      </w:r>
      <w:r>
        <w:fldChar w:fldCharType="separate"/>
      </w:r>
      <w:r>
        <w:t>64</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"_Toc19727" </w:instrText>
      </w:r>
      <w:r>
        <w:fldChar w:fldCharType="separate"/>
      </w:r>
      <w:r>
        <w:t>5.4 Recommendations for Interventions</w:t>
      </w:r>
      <w:r>
        <w:tab/>
      </w:r>
      <w:r>
        <w:fldChar w:fldCharType="begin"/>
      </w:r>
      <w:r>
        <w:instrText xml:space="preserve"> PAGEREF _Toc19727 \h </w:instrText>
      </w:r>
      <w:r>
        <w:fldChar w:fldCharType="separate"/>
      </w:r>
      <w:r>
        <w:t>64</w:t>
      </w:r>
      <w:r>
        <w:fldChar w:fldCharType="end"/>
      </w:r>
      <w:r>
        <w:fldChar w:fldCharType="end"/>
      </w:r>
    </w:p>
    <w:p>
      <w:pPr>
        <w:pStyle w:val="24"/>
        <w:keepNext w:val="0"/>
        <w:keepLines w:val="0"/>
        <w:pageBreakBefore w:val="0"/>
        <w:widowControl/>
        <w:tabs>
          <w:tab w:val="right" w:leader="dot" w:pos="8640"/>
        </w:tabs>
        <w:kinsoku/>
        <w:wordWrap/>
        <w:overflowPunct/>
        <w:topLinePunct w:val="0"/>
        <w:autoSpaceDE/>
        <w:autoSpaceDN/>
        <w:bidi w:val="0"/>
        <w:adjustRightInd/>
        <w:snapToGrid/>
        <w:spacing w:before="0" w:after="0"/>
        <w:ind w:left="480" w:leftChars="200" w:firstLine="0" w:firstLineChars="0"/>
        <w:textAlignment w:val="auto"/>
      </w:pPr>
      <w:r>
        <w:fldChar w:fldCharType="begin"/>
      </w:r>
      <w:r>
        <w:instrText xml:space="preserve"> HYPERLINK \l "_Toc25042" </w:instrText>
      </w:r>
      <w:r>
        <w:fldChar w:fldCharType="separate"/>
      </w:r>
      <w:r>
        <w:t>5.5 Recommendations for Further Studies</w:t>
      </w:r>
      <w:r>
        <w:tab/>
      </w:r>
      <w:r>
        <w:fldChar w:fldCharType="begin"/>
      </w:r>
      <w:r>
        <w:instrText xml:space="preserve"> PAGEREF _Toc25042 \h </w:instrText>
      </w:r>
      <w:r>
        <w:fldChar w:fldCharType="separate"/>
      </w:r>
      <w:r>
        <w:t>65</w:t>
      </w:r>
      <w:r>
        <w:fldChar w:fldCharType="end"/>
      </w:r>
      <w:r>
        <w:fldChar w:fldCharType="end"/>
      </w:r>
    </w:p>
    <w:p>
      <w:pPr>
        <w:pStyle w:val="23"/>
        <w:tabs>
          <w:tab w:val="right" w:leader="dot" w:pos="8640"/>
        </w:tabs>
        <w:rPr>
          <w:b/>
          <w:bCs/>
        </w:rPr>
      </w:pPr>
      <w:r>
        <w:rPr>
          <w:b/>
          <w:bCs/>
        </w:rPr>
        <w:fldChar w:fldCharType="begin"/>
      </w:r>
      <w:r>
        <w:rPr>
          <w:b/>
          <w:bCs/>
        </w:rPr>
        <w:instrText xml:space="preserve"> HYPERLINK \l "_Toc32467" </w:instrText>
      </w:r>
      <w:r>
        <w:rPr>
          <w:b/>
          <w:bCs/>
        </w:rPr>
        <w:fldChar w:fldCharType="separate"/>
      </w:r>
      <w:r>
        <w:rPr>
          <w:b/>
          <w:bCs/>
        </w:rPr>
        <w:t>REFERENCES</w:t>
      </w:r>
      <w:r>
        <w:rPr>
          <w:b/>
          <w:bCs/>
        </w:rPr>
        <w:tab/>
      </w:r>
      <w:r>
        <w:rPr>
          <w:b/>
          <w:bCs/>
        </w:rPr>
        <w:fldChar w:fldCharType="begin"/>
      </w:r>
      <w:r>
        <w:rPr>
          <w:b/>
          <w:bCs/>
        </w:rPr>
        <w:instrText xml:space="preserve"> PAGEREF _Toc32467 \h </w:instrText>
      </w:r>
      <w:r>
        <w:rPr>
          <w:b/>
          <w:bCs/>
        </w:rPr>
        <w:fldChar w:fldCharType="separate"/>
      </w:r>
      <w:r>
        <w:rPr>
          <w:b/>
          <w:bCs/>
        </w:rPr>
        <w:t>67</w:t>
      </w:r>
      <w:r>
        <w:rPr>
          <w:b/>
          <w:bCs/>
        </w:rPr>
        <w:fldChar w:fldCharType="end"/>
      </w:r>
      <w:r>
        <w:rPr>
          <w:b/>
          <w:bCs/>
        </w:rPr>
        <w:fldChar w:fldCharType="end"/>
      </w:r>
    </w:p>
    <w:p>
      <w:pPr>
        <w:pStyle w:val="23"/>
        <w:tabs>
          <w:tab w:val="right" w:leader="dot" w:pos="8640"/>
        </w:tabs>
        <w:rPr>
          <w:b/>
          <w:bCs/>
        </w:rPr>
      </w:pPr>
      <w:r>
        <w:rPr>
          <w:b/>
          <w:bCs/>
        </w:rPr>
        <w:fldChar w:fldCharType="begin"/>
      </w:r>
      <w:r>
        <w:rPr>
          <w:b/>
          <w:bCs/>
        </w:rPr>
        <w:instrText xml:space="preserve"> HYPERLINK \l "_Toc32548" </w:instrText>
      </w:r>
      <w:r>
        <w:rPr>
          <w:b/>
          <w:bCs/>
        </w:rPr>
        <w:fldChar w:fldCharType="separate"/>
      </w:r>
      <w:r>
        <w:rPr>
          <w:b/>
          <w:bCs/>
        </w:rPr>
        <w:t>APPENDICES</w:t>
      </w:r>
      <w:r>
        <w:rPr>
          <w:b/>
          <w:bCs/>
        </w:rPr>
        <w:tab/>
      </w:r>
      <w:r>
        <w:rPr>
          <w:b/>
          <w:bCs/>
        </w:rPr>
        <w:fldChar w:fldCharType="begin"/>
      </w:r>
      <w:r>
        <w:rPr>
          <w:b/>
          <w:bCs/>
        </w:rPr>
        <w:instrText xml:space="preserve"> PAGEREF _Toc32548 \h </w:instrText>
      </w:r>
      <w:r>
        <w:rPr>
          <w:b/>
          <w:bCs/>
        </w:rPr>
        <w:fldChar w:fldCharType="separate"/>
      </w:r>
      <w:r>
        <w:rPr>
          <w:b/>
          <w:bCs/>
        </w:rPr>
        <w:t>74</w:t>
      </w:r>
      <w:r>
        <w:rPr>
          <w:b/>
          <w:bCs/>
        </w:rPr>
        <w:fldChar w:fldCharType="end"/>
      </w:r>
      <w:r>
        <w:rPr>
          <w:b/>
          <w:bCs/>
        </w:rPr>
        <w:fldChar w:fldCharType="end"/>
      </w:r>
    </w:p>
    <w:p>
      <w:pPr>
        <w:pStyle w:val="24"/>
        <w:tabs>
          <w:tab w:val="right" w:leader="dot" w:pos="8640"/>
        </w:tabs>
      </w:pPr>
      <w:r>
        <w:fldChar w:fldCharType="begin"/>
      </w:r>
      <w:r>
        <w:instrText xml:space="preserve"> HYPERLINK \l "_Toc31902" </w:instrText>
      </w:r>
      <w:r>
        <w:fldChar w:fldCharType="separate"/>
      </w:r>
      <w:r>
        <w:t>Appendix II: Questionnaire</w:t>
      </w:r>
      <w:r>
        <w:tab/>
      </w:r>
      <w:r>
        <w:fldChar w:fldCharType="begin"/>
      </w:r>
      <w:r>
        <w:instrText xml:space="preserve"> PAGEREF _Toc31902 \h </w:instrText>
      </w:r>
      <w:r>
        <w:fldChar w:fldCharType="separate"/>
      </w:r>
      <w:r>
        <w:t>74</w:t>
      </w:r>
      <w:r>
        <w:fldChar w:fldCharType="end"/>
      </w:r>
      <w:r>
        <w:fldChar w:fldCharType="end"/>
      </w:r>
    </w:p>
    <w:p>
      <w:pPr>
        <w:pStyle w:val="24"/>
        <w:tabs>
          <w:tab w:val="right" w:leader="dot" w:pos="8640"/>
        </w:tabs>
      </w:pPr>
      <w:r>
        <w:fldChar w:fldCharType="begin"/>
      </w:r>
      <w:r>
        <w:instrText xml:space="preserve"> HYPERLINK \l "_Toc15258" </w:instrText>
      </w:r>
      <w:r>
        <w:fldChar w:fldCharType="separate"/>
      </w:r>
      <w:r>
        <w:t>Appendix II:  Interview Guide with Key Informants</w:t>
      </w:r>
      <w:r>
        <w:tab/>
      </w:r>
      <w:r>
        <w:fldChar w:fldCharType="begin"/>
      </w:r>
      <w:r>
        <w:instrText xml:space="preserve"> PAGEREF _Toc15258 \h </w:instrText>
      </w:r>
      <w:r>
        <w:fldChar w:fldCharType="separate"/>
      </w:r>
      <w:r>
        <w:t>81</w:t>
      </w:r>
      <w:r>
        <w:fldChar w:fldCharType="end"/>
      </w:r>
      <w:r>
        <w:fldChar w:fldCharType="end"/>
      </w:r>
    </w:p>
    <w:p>
      <w:pPr>
        <w:spacing w:before="0" w:line="276" w:lineRule="auto"/>
        <w:jc w:val="left"/>
      </w:pPr>
      <w:r>
        <w:fldChar w:fldCharType="end"/>
      </w:r>
    </w:p>
    <w:p/>
    <w:p>
      <w:pPr>
        <w:sectPr>
          <w:pgSz w:w="12240" w:h="15840"/>
          <w:pgMar w:top="1440" w:right="1800" w:bottom="1440" w:left="1800" w:header="720" w:footer="720" w:gutter="0"/>
          <w:pgNumType w:fmt="lowerRoman"/>
          <w:cols w:space="720" w:num="1"/>
          <w:docGrid w:linePitch="360" w:charSpace="0"/>
        </w:sectPr>
      </w:pPr>
    </w:p>
    <w:p>
      <w:pPr>
        <w:pStyle w:val="2"/>
      </w:pPr>
      <w:bookmarkStart w:id="23" w:name="_Toc22007"/>
      <w:r>
        <w:t xml:space="preserve">LIST OF ABBREVIATIONS </w:t>
      </w:r>
    </w:p>
    <w:tbl>
      <w:tblPr>
        <w:tblStyle w:val="21"/>
        <w:tblW w:w="863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965"/>
        <w:gridCol w:w="56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965" w:type="dxa"/>
          </w:tcPr>
          <w:p>
            <w:pPr>
              <w:keepNext w:val="0"/>
              <w:keepLines w:val="0"/>
              <w:widowControl/>
              <w:suppressLineNumbers w:val="0"/>
              <w:spacing w:before="0" w:beforeAutospacing="0" w:after="0" w:afterAutospacing="0"/>
              <w:ind w:left="0" w:right="0"/>
              <w:rPr>
                <w:rFonts w:hint="eastAsia"/>
              </w:rPr>
            </w:pPr>
            <w:r>
              <w:rPr>
                <w:rFonts w:hint="eastAsia"/>
              </w:rPr>
              <w:t>CBO</w:t>
            </w:r>
          </w:p>
        </w:tc>
        <w:tc>
          <w:tcPr>
            <w:tcW w:w="5670" w:type="dxa"/>
          </w:tcPr>
          <w:p>
            <w:pPr>
              <w:keepNext w:val="0"/>
              <w:keepLines w:val="0"/>
              <w:widowControl/>
              <w:suppressLineNumbers w:val="0"/>
              <w:spacing w:before="0" w:beforeAutospacing="0" w:after="0" w:afterAutospacing="0"/>
              <w:ind w:left="0" w:right="0"/>
              <w:rPr>
                <w:rFonts w:hint="eastAsia"/>
              </w:rPr>
            </w:pPr>
            <w:r>
              <w:rPr>
                <w:rFonts w:hint="eastAsia"/>
              </w:rPr>
              <w:t>Community-Based Organization</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965" w:type="dxa"/>
          </w:tcPr>
          <w:p>
            <w:pPr>
              <w:keepNext w:val="0"/>
              <w:keepLines w:val="0"/>
              <w:widowControl/>
              <w:suppressLineNumbers w:val="0"/>
              <w:spacing w:before="0" w:beforeAutospacing="0" w:after="0" w:afterAutospacing="0"/>
              <w:ind w:left="0" w:right="0"/>
              <w:rPr>
                <w:rFonts w:hint="eastAsia"/>
              </w:rPr>
            </w:pPr>
            <w:r>
              <w:rPr>
                <w:rFonts w:hint="eastAsia"/>
              </w:rPr>
              <w:t>FYDPs</w:t>
            </w:r>
          </w:p>
        </w:tc>
        <w:tc>
          <w:tcPr>
            <w:tcW w:w="5670" w:type="dxa"/>
          </w:tcPr>
          <w:p>
            <w:pPr>
              <w:keepNext w:val="0"/>
              <w:keepLines w:val="0"/>
              <w:widowControl/>
              <w:suppressLineNumbers w:val="0"/>
              <w:spacing w:before="0" w:beforeAutospacing="0" w:after="0" w:afterAutospacing="0"/>
              <w:ind w:left="0" w:right="0"/>
              <w:rPr>
                <w:rFonts w:hint="eastAsia"/>
              </w:rPr>
            </w:pPr>
            <w:r>
              <w:rPr>
                <w:rFonts w:hint="eastAsia"/>
              </w:rPr>
              <w:t>Five-Year Development Plans</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965" w:type="dxa"/>
          </w:tcPr>
          <w:p>
            <w:pPr>
              <w:keepNext w:val="0"/>
              <w:keepLines w:val="0"/>
              <w:widowControl/>
              <w:suppressLineNumbers w:val="0"/>
              <w:spacing w:before="0" w:beforeAutospacing="0" w:after="0" w:afterAutospacing="0"/>
              <w:ind w:left="0" w:right="0"/>
              <w:rPr>
                <w:rFonts w:hint="eastAsia"/>
              </w:rPr>
            </w:pPr>
            <w:r>
              <w:rPr>
                <w:rFonts w:hint="eastAsia"/>
              </w:rPr>
              <w:t>GEPF</w:t>
            </w:r>
          </w:p>
        </w:tc>
        <w:tc>
          <w:tcPr>
            <w:tcW w:w="5670" w:type="dxa"/>
          </w:tcPr>
          <w:p>
            <w:pPr>
              <w:keepNext w:val="0"/>
              <w:keepLines w:val="0"/>
              <w:widowControl/>
              <w:suppressLineNumbers w:val="0"/>
              <w:spacing w:before="0" w:beforeAutospacing="0" w:after="0" w:afterAutospacing="0"/>
              <w:ind w:left="0" w:right="0"/>
              <w:rPr>
                <w:rFonts w:hint="eastAsia"/>
              </w:rPr>
            </w:pPr>
            <w:r>
              <w:rPr>
                <w:rFonts w:hint="eastAsia"/>
              </w:rPr>
              <w:t>Government Employees Pension Fund</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965" w:type="dxa"/>
          </w:tcPr>
          <w:p>
            <w:pPr>
              <w:keepNext w:val="0"/>
              <w:keepLines w:val="0"/>
              <w:widowControl/>
              <w:suppressLineNumbers w:val="0"/>
              <w:spacing w:before="0" w:beforeAutospacing="0" w:after="0" w:afterAutospacing="0"/>
              <w:ind w:left="0" w:right="0"/>
              <w:rPr>
                <w:rFonts w:hint="eastAsia"/>
              </w:rPr>
            </w:pPr>
            <w:r>
              <w:rPr>
                <w:rFonts w:hint="eastAsia"/>
              </w:rPr>
              <w:t>ILO</w:t>
            </w:r>
          </w:p>
        </w:tc>
        <w:tc>
          <w:tcPr>
            <w:tcW w:w="5670" w:type="dxa"/>
          </w:tcPr>
          <w:p>
            <w:pPr>
              <w:keepNext w:val="0"/>
              <w:keepLines w:val="0"/>
              <w:widowControl/>
              <w:suppressLineNumbers w:val="0"/>
              <w:spacing w:before="0" w:beforeAutospacing="0" w:after="0" w:afterAutospacing="0"/>
              <w:ind w:left="0" w:right="0"/>
              <w:rPr>
                <w:rFonts w:hint="eastAsia"/>
              </w:rPr>
            </w:pPr>
            <w:r>
              <w:rPr>
                <w:rFonts w:hint="eastAsia"/>
              </w:rPr>
              <w:t>International Labour Organization</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965" w:type="dxa"/>
          </w:tcPr>
          <w:p>
            <w:pPr>
              <w:keepNext w:val="0"/>
              <w:keepLines w:val="0"/>
              <w:widowControl/>
              <w:suppressLineNumbers w:val="0"/>
              <w:spacing w:before="0" w:beforeAutospacing="0" w:after="0" w:afterAutospacing="0"/>
              <w:ind w:left="0" w:right="0"/>
              <w:rPr>
                <w:rFonts w:hint="eastAsia"/>
              </w:rPr>
            </w:pPr>
            <w:r>
              <w:rPr>
                <w:rFonts w:hint="eastAsia"/>
              </w:rPr>
              <w:t>LAPF</w:t>
            </w:r>
          </w:p>
        </w:tc>
        <w:tc>
          <w:tcPr>
            <w:tcW w:w="5670" w:type="dxa"/>
          </w:tcPr>
          <w:p>
            <w:pPr>
              <w:keepNext w:val="0"/>
              <w:keepLines w:val="0"/>
              <w:widowControl/>
              <w:suppressLineNumbers w:val="0"/>
              <w:spacing w:before="0" w:beforeAutospacing="0" w:after="0" w:afterAutospacing="0"/>
              <w:ind w:left="0" w:right="0"/>
              <w:rPr>
                <w:rFonts w:hint="eastAsia"/>
              </w:rPr>
            </w:pPr>
            <w:r>
              <w:rPr>
                <w:rFonts w:hint="eastAsia"/>
              </w:rPr>
              <w:t>Local Authority Pensions Fund</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965" w:type="dxa"/>
          </w:tcPr>
          <w:p>
            <w:pPr>
              <w:keepNext w:val="0"/>
              <w:keepLines w:val="0"/>
              <w:widowControl/>
              <w:suppressLineNumbers w:val="0"/>
              <w:spacing w:before="0" w:beforeAutospacing="0" w:after="0" w:afterAutospacing="0"/>
              <w:ind w:left="0" w:right="0"/>
              <w:rPr>
                <w:rFonts w:hint="eastAsia"/>
              </w:rPr>
            </w:pPr>
            <w:r>
              <w:rPr>
                <w:rFonts w:hint="eastAsia"/>
              </w:rPr>
              <w:t>M&amp;A</w:t>
            </w:r>
          </w:p>
        </w:tc>
        <w:tc>
          <w:tcPr>
            <w:tcW w:w="5670" w:type="dxa"/>
          </w:tcPr>
          <w:p>
            <w:pPr>
              <w:keepNext w:val="0"/>
              <w:keepLines w:val="0"/>
              <w:widowControl/>
              <w:suppressLineNumbers w:val="0"/>
              <w:spacing w:before="0" w:beforeAutospacing="0" w:after="0" w:afterAutospacing="0"/>
              <w:ind w:left="0" w:right="0"/>
              <w:rPr>
                <w:rFonts w:hint="eastAsia"/>
              </w:rPr>
            </w:pPr>
            <w:r>
              <w:rPr>
                <w:rFonts w:hint="eastAsia"/>
              </w:rPr>
              <w:t>Mergers and Acquisitions</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965" w:type="dxa"/>
          </w:tcPr>
          <w:p>
            <w:pPr>
              <w:keepNext w:val="0"/>
              <w:keepLines w:val="0"/>
              <w:widowControl/>
              <w:suppressLineNumbers w:val="0"/>
              <w:spacing w:before="0" w:beforeAutospacing="0" w:after="0" w:afterAutospacing="0"/>
              <w:ind w:left="0" w:right="0"/>
              <w:rPr>
                <w:rFonts w:hint="eastAsia"/>
              </w:rPr>
            </w:pPr>
            <w:r>
              <w:rPr>
                <w:rFonts w:hint="eastAsia"/>
              </w:rPr>
              <w:t>M&amp;E</w:t>
            </w:r>
          </w:p>
        </w:tc>
        <w:tc>
          <w:tcPr>
            <w:tcW w:w="5670" w:type="dxa"/>
          </w:tcPr>
          <w:p>
            <w:pPr>
              <w:keepNext w:val="0"/>
              <w:keepLines w:val="0"/>
              <w:widowControl/>
              <w:suppressLineNumbers w:val="0"/>
              <w:spacing w:before="0" w:beforeAutospacing="0" w:after="0" w:afterAutospacing="0"/>
              <w:ind w:left="0" w:right="0"/>
              <w:rPr>
                <w:rFonts w:hint="eastAsia"/>
              </w:rPr>
            </w:pPr>
            <w:r>
              <w:rPr>
                <w:rFonts w:hint="eastAsia"/>
              </w:rPr>
              <w:t>Monitoring and Evaluation</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965" w:type="dxa"/>
          </w:tcPr>
          <w:p>
            <w:pPr>
              <w:keepNext w:val="0"/>
              <w:keepLines w:val="0"/>
              <w:widowControl/>
              <w:suppressLineNumbers w:val="0"/>
              <w:spacing w:before="0" w:beforeAutospacing="0" w:after="0" w:afterAutospacing="0"/>
              <w:ind w:left="0" w:right="0"/>
              <w:rPr>
                <w:rFonts w:hint="eastAsia"/>
              </w:rPr>
            </w:pPr>
            <w:r>
              <w:rPr>
                <w:rFonts w:hint="eastAsia"/>
              </w:rPr>
              <w:t>PPF</w:t>
            </w:r>
          </w:p>
        </w:tc>
        <w:tc>
          <w:tcPr>
            <w:tcW w:w="5670" w:type="dxa"/>
          </w:tcPr>
          <w:p>
            <w:pPr>
              <w:keepNext w:val="0"/>
              <w:keepLines w:val="0"/>
              <w:widowControl/>
              <w:suppressLineNumbers w:val="0"/>
              <w:spacing w:before="0" w:beforeAutospacing="0" w:after="0" w:afterAutospacing="0"/>
              <w:ind w:left="0" w:right="0"/>
              <w:rPr>
                <w:rFonts w:hint="eastAsia"/>
              </w:rPr>
            </w:pPr>
            <w:r>
              <w:rPr>
                <w:rFonts w:hint="eastAsia"/>
              </w:rPr>
              <w:t>Parastatal Pensions Fund</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965" w:type="dxa"/>
          </w:tcPr>
          <w:p>
            <w:pPr>
              <w:keepNext w:val="0"/>
              <w:keepLines w:val="0"/>
              <w:widowControl/>
              <w:suppressLineNumbers w:val="0"/>
              <w:spacing w:before="0" w:beforeAutospacing="0" w:after="0" w:afterAutospacing="0"/>
              <w:ind w:left="0" w:right="0"/>
              <w:rPr>
                <w:rFonts w:hint="eastAsia"/>
              </w:rPr>
            </w:pPr>
            <w:r>
              <w:rPr>
                <w:rFonts w:hint="eastAsia"/>
              </w:rPr>
              <w:t>PPF</w:t>
            </w:r>
          </w:p>
        </w:tc>
        <w:tc>
          <w:tcPr>
            <w:tcW w:w="5670" w:type="dxa"/>
          </w:tcPr>
          <w:p>
            <w:pPr>
              <w:keepNext w:val="0"/>
              <w:keepLines w:val="0"/>
              <w:widowControl/>
              <w:suppressLineNumbers w:val="0"/>
              <w:spacing w:before="0" w:beforeAutospacing="0" w:after="0" w:afterAutospacing="0"/>
              <w:ind w:left="0" w:right="0"/>
              <w:rPr>
                <w:rFonts w:hint="eastAsia"/>
              </w:rPr>
            </w:pPr>
            <w:r>
              <w:rPr>
                <w:rFonts w:hint="eastAsia"/>
              </w:rPr>
              <w:t>Public Pensions Fund</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965" w:type="dxa"/>
          </w:tcPr>
          <w:p>
            <w:pPr>
              <w:keepNext w:val="0"/>
              <w:keepLines w:val="0"/>
              <w:widowControl/>
              <w:suppressLineNumbers w:val="0"/>
              <w:spacing w:before="0" w:beforeAutospacing="0" w:after="0" w:afterAutospacing="0"/>
              <w:ind w:left="0" w:right="0"/>
              <w:rPr>
                <w:rFonts w:hint="eastAsia"/>
              </w:rPr>
            </w:pPr>
            <w:r>
              <w:rPr>
                <w:rFonts w:hint="eastAsia"/>
              </w:rPr>
              <w:t>PSSSF</w:t>
            </w:r>
          </w:p>
        </w:tc>
        <w:tc>
          <w:tcPr>
            <w:tcW w:w="5670" w:type="dxa"/>
          </w:tcPr>
          <w:p>
            <w:pPr>
              <w:keepNext w:val="0"/>
              <w:keepLines w:val="0"/>
              <w:widowControl/>
              <w:suppressLineNumbers w:val="0"/>
              <w:spacing w:before="0" w:beforeAutospacing="0" w:after="0" w:afterAutospacing="0"/>
              <w:ind w:left="0" w:right="0"/>
              <w:rPr>
                <w:rFonts w:hint="eastAsia"/>
              </w:rPr>
            </w:pPr>
            <w:r>
              <w:rPr>
                <w:rFonts w:hint="eastAsia"/>
              </w:rPr>
              <w:t>Public Service Social Security Fund</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965" w:type="dxa"/>
          </w:tcPr>
          <w:p>
            <w:pPr>
              <w:keepNext w:val="0"/>
              <w:keepLines w:val="0"/>
              <w:widowControl/>
              <w:suppressLineNumbers w:val="0"/>
              <w:spacing w:before="0" w:beforeAutospacing="0" w:after="0" w:afterAutospacing="0"/>
              <w:ind w:left="0" w:right="0"/>
              <w:rPr>
                <w:rFonts w:hint="eastAsia"/>
              </w:rPr>
            </w:pPr>
            <w:r>
              <w:rPr>
                <w:rFonts w:hint="eastAsia"/>
              </w:rPr>
              <w:t>PSPF</w:t>
            </w:r>
          </w:p>
        </w:tc>
        <w:tc>
          <w:tcPr>
            <w:tcW w:w="5670" w:type="dxa"/>
          </w:tcPr>
          <w:p>
            <w:pPr>
              <w:keepNext w:val="0"/>
              <w:keepLines w:val="0"/>
              <w:widowControl/>
              <w:suppressLineNumbers w:val="0"/>
              <w:spacing w:before="0" w:beforeAutospacing="0" w:after="0" w:afterAutospacing="0"/>
              <w:ind w:left="0" w:right="0"/>
              <w:rPr>
                <w:rFonts w:hint="eastAsia"/>
              </w:rPr>
            </w:pPr>
            <w:r>
              <w:rPr>
                <w:rFonts w:hint="eastAsia"/>
              </w:rPr>
              <w:t>Public Service Pension Fund</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965" w:type="dxa"/>
          </w:tcPr>
          <w:p>
            <w:pPr>
              <w:keepNext w:val="0"/>
              <w:keepLines w:val="0"/>
              <w:widowControl/>
              <w:suppressLineNumbers w:val="0"/>
              <w:spacing w:before="0" w:beforeAutospacing="0" w:after="0" w:afterAutospacing="0"/>
              <w:ind w:left="0" w:right="0"/>
              <w:rPr>
                <w:rFonts w:hint="eastAsia"/>
              </w:rPr>
            </w:pPr>
            <w:r>
              <w:rPr>
                <w:rFonts w:hint="eastAsia"/>
              </w:rPr>
              <w:t>SDGs</w:t>
            </w:r>
          </w:p>
        </w:tc>
        <w:tc>
          <w:tcPr>
            <w:tcW w:w="5670" w:type="dxa"/>
          </w:tcPr>
          <w:p>
            <w:pPr>
              <w:keepNext w:val="0"/>
              <w:keepLines w:val="0"/>
              <w:widowControl/>
              <w:suppressLineNumbers w:val="0"/>
              <w:spacing w:before="0" w:beforeAutospacing="0" w:after="0" w:afterAutospacing="0"/>
              <w:ind w:left="0" w:right="0"/>
              <w:rPr>
                <w:rFonts w:hint="eastAsia"/>
              </w:rPr>
            </w:pPr>
            <w:r>
              <w:rPr>
                <w:rFonts w:hint="eastAsia"/>
              </w:rPr>
              <w:t>Sustainable Development Goals</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965" w:type="dxa"/>
          </w:tcPr>
          <w:p>
            <w:pPr>
              <w:keepNext w:val="0"/>
              <w:keepLines w:val="0"/>
              <w:widowControl/>
              <w:suppressLineNumbers w:val="0"/>
              <w:spacing w:before="0" w:beforeAutospacing="0" w:after="0" w:afterAutospacing="0"/>
              <w:ind w:left="0" w:right="0"/>
              <w:rPr>
                <w:rFonts w:hint="eastAsia"/>
              </w:rPr>
            </w:pPr>
            <w:r>
              <w:rPr>
                <w:rFonts w:hint="eastAsia"/>
              </w:rPr>
              <w:t>SPSS</w:t>
            </w:r>
          </w:p>
        </w:tc>
        <w:tc>
          <w:tcPr>
            <w:tcW w:w="5670" w:type="dxa"/>
          </w:tcPr>
          <w:p>
            <w:pPr>
              <w:keepNext w:val="0"/>
              <w:keepLines w:val="0"/>
              <w:widowControl/>
              <w:suppressLineNumbers w:val="0"/>
              <w:spacing w:before="0" w:beforeAutospacing="0" w:after="0" w:afterAutospacing="0"/>
              <w:ind w:left="0" w:right="0"/>
              <w:rPr>
                <w:rFonts w:hint="eastAsia"/>
              </w:rPr>
            </w:pPr>
            <w:r>
              <w:rPr>
                <w:rFonts w:hint="eastAsia"/>
              </w:rPr>
              <w:t>Statistical Package for the Social Sciences</w:t>
            </w:r>
          </w:p>
        </w:tc>
      </w:tr>
    </w:tbl>
    <w:p>
      <w:pPr>
        <w:bidi w:val="0"/>
      </w:pPr>
    </w:p>
    <w:p>
      <w:pPr>
        <w:bidi w:val="0"/>
      </w:pPr>
    </w:p>
    <w:p>
      <w:pPr>
        <w:bidi w:val="0"/>
      </w:pPr>
    </w:p>
    <w:p>
      <w:pPr>
        <w:bidi w:val="0"/>
      </w:pPr>
    </w:p>
    <w:p>
      <w:pPr>
        <w:bidi w:val="0"/>
      </w:pPr>
    </w:p>
    <w:p>
      <w:pPr>
        <w:bidi w:val="0"/>
      </w:pPr>
    </w:p>
    <w:p>
      <w:pPr>
        <w:bidi w:val="0"/>
      </w:pPr>
    </w:p>
    <w:p>
      <w:pPr>
        <w:bidi w:val="0"/>
      </w:pPr>
    </w:p>
    <w:p>
      <w:pPr>
        <w:bidi w:val="0"/>
      </w:pPr>
    </w:p>
    <w:p>
      <w:pPr>
        <w:bidi w:val="0"/>
      </w:pPr>
    </w:p>
    <w:p>
      <w:pPr>
        <w:pStyle w:val="2"/>
      </w:pPr>
    </w:p>
    <w:p>
      <w:pPr>
        <w:pStyle w:val="2"/>
      </w:pPr>
      <w:r>
        <w:t>LIST OF TABLES</w:t>
      </w:r>
      <w:bookmarkEnd w:id="23"/>
    </w:p>
    <w:p>
      <w:pPr>
        <w:pStyle w:val="22"/>
        <w:tabs>
          <w:tab w:val="right" w:leader="dot" w:pos="8630"/>
        </w:tabs>
      </w:pPr>
      <w:r>
        <w:fldChar w:fldCharType="begin"/>
      </w:r>
      <w:r>
        <w:instrText xml:space="preserve"> TOC \h \z \c "Table" </w:instrText>
      </w:r>
      <w:r>
        <w:fldChar w:fldCharType="separate"/>
      </w:r>
      <w:r>
        <w:fldChar w:fldCharType="begin"/>
      </w:r>
      <w:r>
        <w:instrText xml:space="preserve"> HYPERLINK \l "_Toc182070289" </w:instrText>
      </w:r>
      <w:r>
        <w:fldChar w:fldCharType="separate"/>
      </w:r>
      <w:r>
        <w:rPr>
          <w:rStyle w:val="19"/>
        </w:rPr>
        <w:t>Table 4.1: Demographic Characteristics of the Participants</w:t>
      </w:r>
      <w:r>
        <w:tab/>
      </w:r>
      <w:r>
        <w:fldChar w:fldCharType="begin"/>
      </w:r>
      <w:r>
        <w:instrText xml:space="preserve"> PAGEREF _Toc182070289 \h </w:instrText>
      </w:r>
      <w:r>
        <w:fldChar w:fldCharType="separate"/>
      </w:r>
      <w:r>
        <w:t>38</w:t>
      </w:r>
      <w:r>
        <w:fldChar w:fldCharType="end"/>
      </w:r>
      <w:r>
        <w:fldChar w:fldCharType="end"/>
      </w:r>
    </w:p>
    <w:p>
      <w:pPr>
        <w:pStyle w:val="22"/>
        <w:tabs>
          <w:tab w:val="right" w:leader="dot" w:pos="8630"/>
        </w:tabs>
      </w:pPr>
      <w:r>
        <w:fldChar w:fldCharType="begin"/>
      </w:r>
      <w:r>
        <w:instrText xml:space="preserve"> HYPERLINK \l "_Toc182070290" </w:instrText>
      </w:r>
      <w:r>
        <w:fldChar w:fldCharType="separate"/>
      </w:r>
      <w:r>
        <w:rPr>
          <w:rStyle w:val="19"/>
        </w:rPr>
        <w:t>Table 4.2: Public Servants' Perceptions of the Welfare Benefits Provided by The PSSSF After the Mergers and Acquisitions</w:t>
      </w:r>
      <w:r>
        <w:tab/>
      </w:r>
      <w:r>
        <w:fldChar w:fldCharType="begin"/>
      </w:r>
      <w:r>
        <w:instrText xml:space="preserve"> PAGEREF _Toc182070290 \h </w:instrText>
      </w:r>
      <w:r>
        <w:fldChar w:fldCharType="separate"/>
      </w:r>
      <w:r>
        <w:t>40</w:t>
      </w:r>
      <w:r>
        <w:fldChar w:fldCharType="end"/>
      </w:r>
      <w:r>
        <w:fldChar w:fldCharType="end"/>
      </w:r>
    </w:p>
    <w:p>
      <w:pPr>
        <w:pStyle w:val="22"/>
        <w:tabs>
          <w:tab w:val="right" w:leader="dot" w:pos="8630"/>
        </w:tabs>
      </w:pPr>
      <w:r>
        <w:fldChar w:fldCharType="begin"/>
      </w:r>
      <w:r>
        <w:instrText xml:space="preserve"> HYPERLINK \l "_Toc182070291" </w:instrText>
      </w:r>
      <w:r>
        <w:fldChar w:fldCharType="separate"/>
      </w:r>
      <w:r>
        <w:rPr>
          <w:rStyle w:val="19"/>
        </w:rPr>
        <w:t>Table 4.3: Service Delivery Rating</w:t>
      </w:r>
      <w:r>
        <w:tab/>
      </w:r>
      <w:r>
        <w:fldChar w:fldCharType="begin"/>
      </w:r>
      <w:r>
        <w:instrText xml:space="preserve"> PAGEREF _Toc182070291 \h </w:instrText>
      </w:r>
      <w:r>
        <w:fldChar w:fldCharType="separate"/>
      </w:r>
      <w:r>
        <w:t>44</w:t>
      </w:r>
      <w:r>
        <w:fldChar w:fldCharType="end"/>
      </w:r>
      <w:r>
        <w:fldChar w:fldCharType="end"/>
      </w:r>
    </w:p>
    <w:p>
      <w:pPr>
        <w:pStyle w:val="22"/>
        <w:tabs>
          <w:tab w:val="right" w:leader="dot" w:pos="8630"/>
        </w:tabs>
      </w:pPr>
      <w:r>
        <w:fldChar w:fldCharType="begin"/>
      </w:r>
      <w:r>
        <w:instrText xml:space="preserve"> HYPERLINK \l "_Toc182070292" </w:instrText>
      </w:r>
      <w:r>
        <w:fldChar w:fldCharType="separate"/>
      </w:r>
      <w:r>
        <w:rPr>
          <w:rStyle w:val="19"/>
        </w:rPr>
        <w:t>Table 4.4: Administrative Efficiency Changes</w:t>
      </w:r>
      <w:r>
        <w:tab/>
      </w:r>
      <w:r>
        <w:fldChar w:fldCharType="begin"/>
      </w:r>
      <w:r>
        <w:instrText xml:space="preserve"> PAGEREF _Toc182070292 \h </w:instrText>
      </w:r>
      <w:r>
        <w:fldChar w:fldCharType="separate"/>
      </w:r>
      <w:r>
        <w:t>46</w:t>
      </w:r>
      <w:r>
        <w:fldChar w:fldCharType="end"/>
      </w:r>
      <w:r>
        <w:fldChar w:fldCharType="end"/>
      </w:r>
    </w:p>
    <w:p>
      <w:pPr>
        <w:pStyle w:val="22"/>
        <w:tabs>
          <w:tab w:val="right" w:leader="dot" w:pos="8630"/>
        </w:tabs>
      </w:pPr>
      <w:r>
        <w:fldChar w:fldCharType="begin"/>
      </w:r>
      <w:r>
        <w:instrText xml:space="preserve"> HYPERLINK \l "_Toc182070293" </w:instrText>
      </w:r>
      <w:r>
        <w:fldChar w:fldCharType="separate"/>
      </w:r>
      <w:r>
        <w:rPr>
          <w:rStyle w:val="19"/>
        </w:rPr>
        <w:t>Table 4.5: Improvements in Service Delivery</w:t>
      </w:r>
      <w:r>
        <w:tab/>
      </w:r>
      <w:r>
        <w:fldChar w:fldCharType="begin"/>
      </w:r>
      <w:r>
        <w:instrText xml:space="preserve"> PAGEREF _Toc182070293 \h </w:instrText>
      </w:r>
      <w:r>
        <w:fldChar w:fldCharType="separate"/>
      </w:r>
      <w:r>
        <w:t>47</w:t>
      </w:r>
      <w:r>
        <w:fldChar w:fldCharType="end"/>
      </w:r>
      <w:r>
        <w:fldChar w:fldCharType="end"/>
      </w:r>
    </w:p>
    <w:p>
      <w:pPr>
        <w:pStyle w:val="22"/>
        <w:tabs>
          <w:tab w:val="right" w:leader="dot" w:pos="8630"/>
        </w:tabs>
      </w:pPr>
      <w:r>
        <w:fldChar w:fldCharType="begin"/>
      </w:r>
      <w:r>
        <w:instrText xml:space="preserve"> HYPERLINK \l "_Toc182070294" </w:instrText>
      </w:r>
      <w:r>
        <w:fldChar w:fldCharType="separate"/>
      </w:r>
      <w:r>
        <w:rPr>
          <w:rStyle w:val="19"/>
        </w:rPr>
        <w:t>Table 4.6: Administrative Process Satisfaction</w:t>
      </w:r>
      <w:r>
        <w:tab/>
      </w:r>
      <w:r>
        <w:fldChar w:fldCharType="begin"/>
      </w:r>
      <w:r>
        <w:instrText xml:space="preserve"> PAGEREF _Toc182070294 \h </w:instrText>
      </w:r>
      <w:r>
        <w:fldChar w:fldCharType="separate"/>
      </w:r>
      <w:r>
        <w:t>47</w:t>
      </w:r>
      <w:r>
        <w:fldChar w:fldCharType="end"/>
      </w:r>
      <w:r>
        <w:fldChar w:fldCharType="end"/>
      </w:r>
    </w:p>
    <w:p>
      <w:pPr>
        <w:pStyle w:val="22"/>
        <w:tabs>
          <w:tab w:val="right" w:leader="dot" w:pos="8630"/>
        </w:tabs>
      </w:pPr>
      <w:r>
        <w:fldChar w:fldCharType="begin"/>
      </w:r>
      <w:r>
        <w:instrText xml:space="preserve"> HYPERLINK \l "_Toc182070295" </w:instrText>
      </w:r>
      <w:r>
        <w:fldChar w:fldCharType="separate"/>
      </w:r>
      <w:r>
        <w:rPr>
          <w:rStyle w:val="19"/>
        </w:rPr>
        <w:t>Table 4.7: Digital Service Improvements</w:t>
      </w:r>
      <w:r>
        <w:tab/>
      </w:r>
      <w:r>
        <w:fldChar w:fldCharType="begin"/>
      </w:r>
      <w:r>
        <w:instrText xml:space="preserve"> PAGEREF _Toc182070295 \h </w:instrText>
      </w:r>
      <w:r>
        <w:fldChar w:fldCharType="separate"/>
      </w:r>
      <w:r>
        <w:t>48</w:t>
      </w:r>
      <w:r>
        <w:fldChar w:fldCharType="end"/>
      </w:r>
      <w:r>
        <w:fldChar w:fldCharType="end"/>
      </w:r>
    </w:p>
    <w:p>
      <w:pPr>
        <w:pStyle w:val="22"/>
        <w:tabs>
          <w:tab w:val="right" w:leader="dot" w:pos="8630"/>
        </w:tabs>
      </w:pPr>
      <w:r>
        <w:fldChar w:fldCharType="begin"/>
      </w:r>
      <w:r>
        <w:instrText xml:space="preserve"> HYPERLINK \l "_Toc182070296" </w:instrText>
      </w:r>
      <w:r>
        <w:fldChar w:fldCharType="separate"/>
      </w:r>
      <w:r>
        <w:rPr>
          <w:rStyle w:val="19"/>
        </w:rPr>
        <w:t>Table 4.8: Customer Support Satisfaction</w:t>
      </w:r>
      <w:r>
        <w:tab/>
      </w:r>
      <w:r>
        <w:fldChar w:fldCharType="begin"/>
      </w:r>
      <w:r>
        <w:instrText xml:space="preserve"> PAGEREF _Toc182070296 \h </w:instrText>
      </w:r>
      <w:r>
        <w:fldChar w:fldCharType="separate"/>
      </w:r>
      <w:r>
        <w:t>48</w:t>
      </w:r>
      <w:r>
        <w:fldChar w:fldCharType="end"/>
      </w:r>
      <w:r>
        <w:fldChar w:fldCharType="end"/>
      </w:r>
    </w:p>
    <w:p>
      <w:pPr>
        <w:pStyle w:val="22"/>
        <w:tabs>
          <w:tab w:val="right" w:leader="dot" w:pos="8630"/>
        </w:tabs>
      </w:pPr>
      <w:r>
        <w:fldChar w:fldCharType="begin"/>
      </w:r>
      <w:r>
        <w:instrText xml:space="preserve"> HYPERLINK \l "_Toc182070297" </w:instrText>
      </w:r>
      <w:r>
        <w:fldChar w:fldCharType="separate"/>
      </w:r>
      <w:r>
        <w:rPr>
          <w:rStyle w:val="19"/>
        </w:rPr>
        <w:t>Table 4.9: Factors Influencing the Effectiveness of the PSSSF in Enhancing the Welfare of Public Servants Post-Merger</w:t>
      </w:r>
      <w:r>
        <w:tab/>
      </w:r>
      <w:r>
        <w:fldChar w:fldCharType="begin"/>
      </w:r>
      <w:r>
        <w:instrText xml:space="preserve"> PAGEREF _Toc182070297 \h </w:instrText>
      </w:r>
      <w:r>
        <w:fldChar w:fldCharType="separate"/>
      </w:r>
      <w:r>
        <w:t>49</w:t>
      </w:r>
      <w:r>
        <w:fldChar w:fldCharType="end"/>
      </w:r>
      <w:r>
        <w:fldChar w:fldCharType="end"/>
      </w:r>
    </w:p>
    <w:p>
      <w:pPr>
        <w:pStyle w:val="22"/>
        <w:tabs>
          <w:tab w:val="right" w:leader="dot" w:pos="8630"/>
        </w:tabs>
      </w:pPr>
      <w:r>
        <w:fldChar w:fldCharType="begin"/>
      </w:r>
      <w:r>
        <w:instrText xml:space="preserve"> HYPERLINK \l "_Toc182070298" </w:instrText>
      </w:r>
      <w:r>
        <w:fldChar w:fldCharType="separate"/>
      </w:r>
      <w:r>
        <w:rPr>
          <w:rStyle w:val="19"/>
        </w:rPr>
        <w:t>Table 4.10: Summary of Normality Test Results</w:t>
      </w:r>
      <w:r>
        <w:tab/>
      </w:r>
      <w:r>
        <w:fldChar w:fldCharType="begin"/>
      </w:r>
      <w:r>
        <w:instrText xml:space="preserve"> PAGEREF _Toc182070298 \h </w:instrText>
      </w:r>
      <w:r>
        <w:fldChar w:fldCharType="separate"/>
      </w:r>
      <w:r>
        <w:t>53</w:t>
      </w:r>
      <w:r>
        <w:fldChar w:fldCharType="end"/>
      </w:r>
      <w:r>
        <w:fldChar w:fldCharType="end"/>
      </w:r>
    </w:p>
    <w:p>
      <w:pPr>
        <w:pStyle w:val="22"/>
        <w:tabs>
          <w:tab w:val="right" w:leader="dot" w:pos="8630"/>
        </w:tabs>
      </w:pPr>
      <w:r>
        <w:fldChar w:fldCharType="begin"/>
      </w:r>
      <w:r>
        <w:instrText xml:space="preserve"> HYPERLINK \l "_Toc182070299" </w:instrText>
      </w:r>
      <w:r>
        <w:fldChar w:fldCharType="separate"/>
      </w:r>
      <w:r>
        <w:rPr>
          <w:rStyle w:val="19"/>
        </w:rPr>
        <w:t>Table 4.11:</w:t>
      </w:r>
      <w:r>
        <w:rPr>
          <w:rStyle w:val="19"/>
          <w:rFonts w:eastAsia="SimHei" w:cs="Times New Roman"/>
        </w:rPr>
        <w:t xml:space="preserve"> </w:t>
      </w:r>
      <w:r>
        <w:rPr>
          <w:rStyle w:val="19"/>
        </w:rPr>
        <w:t>Summary of Homoscedasticity Test Results</w:t>
      </w:r>
      <w:r>
        <w:tab/>
      </w:r>
      <w:r>
        <w:fldChar w:fldCharType="begin"/>
      </w:r>
      <w:r>
        <w:instrText xml:space="preserve"> PAGEREF _Toc182070299 \h </w:instrText>
      </w:r>
      <w:r>
        <w:fldChar w:fldCharType="separate"/>
      </w:r>
      <w:r>
        <w:t>54</w:t>
      </w:r>
      <w:r>
        <w:fldChar w:fldCharType="end"/>
      </w:r>
      <w:r>
        <w:fldChar w:fldCharType="end"/>
      </w:r>
    </w:p>
    <w:p>
      <w:pPr>
        <w:pStyle w:val="22"/>
        <w:tabs>
          <w:tab w:val="right" w:leader="dot" w:pos="8630"/>
        </w:tabs>
      </w:pPr>
      <w:r>
        <w:fldChar w:fldCharType="begin"/>
      </w:r>
      <w:r>
        <w:instrText xml:space="preserve"> HYPERLINK \l "_Toc182070300" </w:instrText>
      </w:r>
      <w:r>
        <w:fldChar w:fldCharType="separate"/>
      </w:r>
      <w:r>
        <w:rPr>
          <w:rStyle w:val="19"/>
          <w:rFonts w:eastAsia="SimHei" w:cs="Times New Roman"/>
        </w:rPr>
        <w:t>Table 4.12: Multicollinearity Results</w:t>
      </w:r>
      <w:r>
        <w:tab/>
      </w:r>
      <w:r>
        <w:fldChar w:fldCharType="begin"/>
      </w:r>
      <w:r>
        <w:instrText xml:space="preserve"> PAGEREF _Toc182070300 \h </w:instrText>
      </w:r>
      <w:r>
        <w:fldChar w:fldCharType="separate"/>
      </w:r>
      <w:r>
        <w:t>55</w:t>
      </w:r>
      <w:r>
        <w:fldChar w:fldCharType="end"/>
      </w:r>
      <w:r>
        <w:fldChar w:fldCharType="end"/>
      </w:r>
    </w:p>
    <w:p>
      <w:pPr>
        <w:pStyle w:val="22"/>
        <w:tabs>
          <w:tab w:val="right" w:leader="dot" w:pos="8630"/>
        </w:tabs>
      </w:pPr>
      <w:r>
        <w:fldChar w:fldCharType="begin"/>
      </w:r>
      <w:r>
        <w:instrText xml:space="preserve"> HYPERLINK \l "_Toc182070301" </w:instrText>
      </w:r>
      <w:r>
        <w:fldChar w:fldCharType="separate"/>
      </w:r>
      <w:r>
        <w:rPr>
          <w:rStyle w:val="19"/>
          <w:rFonts w:eastAsia="SimHei" w:cs="Times New Roman"/>
        </w:rPr>
        <w:t>Table 4.13: Outlier Analysis Results</w:t>
      </w:r>
      <w:r>
        <w:tab/>
      </w:r>
      <w:r>
        <w:fldChar w:fldCharType="begin"/>
      </w:r>
      <w:r>
        <w:instrText xml:space="preserve"> PAGEREF _Toc182070301 \h </w:instrText>
      </w:r>
      <w:r>
        <w:fldChar w:fldCharType="separate"/>
      </w:r>
      <w:r>
        <w:t>56</w:t>
      </w:r>
      <w:r>
        <w:fldChar w:fldCharType="end"/>
      </w:r>
      <w:r>
        <w:fldChar w:fldCharType="end"/>
      </w:r>
    </w:p>
    <w:p>
      <w:pPr>
        <w:pStyle w:val="22"/>
        <w:tabs>
          <w:tab w:val="right" w:leader="dot" w:pos="8630"/>
        </w:tabs>
      </w:pPr>
      <w:r>
        <w:fldChar w:fldCharType="begin"/>
      </w:r>
      <w:r>
        <w:instrText xml:space="preserve"> HYPERLINK \l "_Toc182070302" </w:instrText>
      </w:r>
      <w:r>
        <w:fldChar w:fldCharType="separate"/>
      </w:r>
      <w:r>
        <w:rPr>
          <w:rStyle w:val="19"/>
        </w:rPr>
        <w:t>Table 4.14: Multicollinearity Results</w:t>
      </w:r>
      <w:r>
        <w:tab/>
      </w:r>
      <w:r>
        <w:fldChar w:fldCharType="begin"/>
      </w:r>
      <w:r>
        <w:instrText xml:space="preserve"> PAGEREF _Toc182070302 \h </w:instrText>
      </w:r>
      <w:r>
        <w:fldChar w:fldCharType="separate"/>
      </w:r>
      <w:r>
        <w:t>56</w:t>
      </w:r>
      <w:r>
        <w:fldChar w:fldCharType="end"/>
      </w:r>
      <w:r>
        <w:fldChar w:fldCharType="end"/>
      </w:r>
    </w:p>
    <w:p>
      <w:pPr>
        <w:pStyle w:val="22"/>
        <w:tabs>
          <w:tab w:val="right" w:leader="dot" w:pos="8630"/>
        </w:tabs>
      </w:pPr>
      <w:r>
        <w:fldChar w:fldCharType="begin"/>
      </w:r>
      <w:r>
        <w:instrText xml:space="preserve"> HYPERLINK \l "_Toc182070303" </w:instrText>
      </w:r>
      <w:r>
        <w:fldChar w:fldCharType="separate"/>
      </w:r>
      <w:r>
        <w:rPr>
          <w:rStyle w:val="19"/>
        </w:rPr>
        <w:t>Table 4.15: Outlier Analysis Results</w:t>
      </w:r>
      <w:r>
        <w:tab/>
      </w:r>
      <w:r>
        <w:fldChar w:fldCharType="begin"/>
      </w:r>
      <w:r>
        <w:instrText xml:space="preserve"> PAGEREF _Toc182070303 \h </w:instrText>
      </w:r>
      <w:r>
        <w:fldChar w:fldCharType="separate"/>
      </w:r>
      <w:r>
        <w:t>57</w:t>
      </w:r>
      <w:r>
        <w:fldChar w:fldCharType="end"/>
      </w:r>
      <w:r>
        <w:fldChar w:fldCharType="end"/>
      </w:r>
    </w:p>
    <w:p>
      <w:pPr>
        <w:pStyle w:val="22"/>
        <w:tabs>
          <w:tab w:val="right" w:leader="dot" w:pos="8630"/>
        </w:tabs>
      </w:pPr>
      <w:r>
        <w:fldChar w:fldCharType="begin"/>
      </w:r>
      <w:r>
        <w:instrText xml:space="preserve"> HYPERLINK \l "_Toc182070304" </w:instrText>
      </w:r>
      <w:r>
        <w:fldChar w:fldCharType="separate"/>
      </w:r>
      <w:r>
        <w:rPr>
          <w:rStyle w:val="19"/>
        </w:rPr>
        <w:t>Table 16: Linearity Test (Correlation Matrix)</w:t>
      </w:r>
      <w:r>
        <w:tab/>
      </w:r>
      <w:r>
        <w:fldChar w:fldCharType="begin"/>
      </w:r>
      <w:r>
        <w:instrText xml:space="preserve"> PAGEREF _Toc182070304 \h </w:instrText>
      </w:r>
      <w:r>
        <w:fldChar w:fldCharType="separate"/>
      </w:r>
      <w:r>
        <w:t>58</w:t>
      </w:r>
      <w:r>
        <w:fldChar w:fldCharType="end"/>
      </w:r>
      <w:r>
        <w:fldChar w:fldCharType="end"/>
      </w:r>
    </w:p>
    <w:p>
      <w:pPr>
        <w:pStyle w:val="22"/>
        <w:tabs>
          <w:tab w:val="right" w:leader="dot" w:pos="8630"/>
        </w:tabs>
      </w:pPr>
      <w:r>
        <w:fldChar w:fldCharType="begin"/>
      </w:r>
      <w:r>
        <w:instrText xml:space="preserve"> HYPERLINK \l "_Toc182070305" </w:instrText>
      </w:r>
      <w:r>
        <w:fldChar w:fldCharType="separate"/>
      </w:r>
      <w:r>
        <w:rPr>
          <w:rStyle w:val="19"/>
        </w:rPr>
        <w:t>Table 4.17: Regression Diagnostics Model Summary</w:t>
      </w:r>
      <w:r>
        <w:tab/>
      </w:r>
      <w:r>
        <w:fldChar w:fldCharType="begin"/>
      </w:r>
      <w:r>
        <w:instrText xml:space="preserve"> PAGEREF _Toc182070305 \h </w:instrText>
      </w:r>
      <w:r>
        <w:fldChar w:fldCharType="separate"/>
      </w:r>
      <w:r>
        <w:t>58</w:t>
      </w:r>
      <w:r>
        <w:fldChar w:fldCharType="end"/>
      </w:r>
      <w:r>
        <w:fldChar w:fldCharType="end"/>
      </w:r>
    </w:p>
    <w:p>
      <w:pPr>
        <w:pStyle w:val="22"/>
        <w:tabs>
          <w:tab w:val="right" w:leader="dot" w:pos="8630"/>
        </w:tabs>
      </w:pPr>
      <w:r>
        <w:fldChar w:fldCharType="begin"/>
      </w:r>
      <w:r>
        <w:instrText xml:space="preserve"> HYPERLINK \l "_Toc182070306" </w:instrText>
      </w:r>
      <w:r>
        <w:fldChar w:fldCharType="separate"/>
      </w:r>
      <w:r>
        <w:rPr>
          <w:rStyle w:val="19"/>
        </w:rPr>
        <w:t>Table 18: Multiple Regression Analysis Parameter Estimation Results</w:t>
      </w:r>
      <w:r>
        <w:tab/>
      </w:r>
      <w:r>
        <w:fldChar w:fldCharType="begin"/>
      </w:r>
      <w:r>
        <w:instrText xml:space="preserve"> PAGEREF _Toc182070306 \h </w:instrText>
      </w:r>
      <w:r>
        <w:fldChar w:fldCharType="separate"/>
      </w:r>
      <w:r>
        <w:t>59</w:t>
      </w:r>
      <w:r>
        <w:fldChar w:fldCharType="end"/>
      </w:r>
      <w:r>
        <w:fldChar w:fldCharType="end"/>
      </w:r>
    </w:p>
    <w:p>
      <w:r>
        <w:fldChar w:fldCharType="end"/>
      </w:r>
    </w:p>
    <w:p>
      <w:pPr>
        <w:sectPr>
          <w:pgSz w:w="12240" w:h="15840"/>
          <w:pgMar w:top="1440" w:right="1800" w:bottom="1440" w:left="1800" w:header="720" w:footer="720" w:gutter="0"/>
          <w:pgNumType w:fmt="lowerRoman"/>
          <w:cols w:space="720" w:num="1"/>
          <w:docGrid w:linePitch="360" w:charSpace="0"/>
        </w:sectPr>
      </w:pPr>
    </w:p>
    <w:p>
      <w:pPr>
        <w:pStyle w:val="2"/>
        <w:rPr>
          <w:rFonts w:hint="default"/>
          <w:lang w:val="en-US"/>
        </w:rPr>
      </w:pPr>
      <w:bookmarkStart w:id="24" w:name="_Toc16940"/>
      <w:r>
        <w:rPr>
          <w:rFonts w:hint="default"/>
          <w:lang w:val="en-US"/>
        </w:rPr>
        <w:t>LIST OF FIGURES</w:t>
      </w:r>
    </w:p>
    <w:p>
      <w:pPr>
        <w:pStyle w:val="22"/>
        <w:tabs>
          <w:tab w:val="right" w:leader="dot" w:pos="8640"/>
        </w:tabs>
      </w:pPr>
      <w:r>
        <w:fldChar w:fldCharType="begin"/>
      </w:r>
      <w:r>
        <w:instrText xml:space="preserve">TOC \t "Heading 4" \h \c</w:instrText>
      </w:r>
      <w:r>
        <w:fldChar w:fldCharType="separate"/>
      </w:r>
      <w:r>
        <w:fldChar w:fldCharType="begin"/>
      </w:r>
      <w:r>
        <w:instrText xml:space="preserve"> HYPERLINK \l _Toc13894 </w:instrText>
      </w:r>
      <w:r>
        <w:fldChar w:fldCharType="separate"/>
      </w:r>
      <w:r>
        <w:rPr>
          <w:rFonts w:ascii="Times New Roman" w:hAnsi="Times New Roman" w:cs="Times New Roman"/>
          <w:bCs/>
          <w:i w:val="0"/>
          <w:iCs w:val="0"/>
        </w:rPr>
        <w:t>Figure 2.1 Conceptual framework</w:t>
      </w:r>
      <w:r>
        <w:tab/>
      </w:r>
      <w:r>
        <w:fldChar w:fldCharType="begin"/>
      </w:r>
      <w:r>
        <w:instrText xml:space="preserve"> PAGEREF _Toc13894 \h </w:instrText>
      </w:r>
      <w:r>
        <w:fldChar w:fldCharType="separate"/>
      </w:r>
      <w:r>
        <w:t>24</w:t>
      </w:r>
      <w:r>
        <w:fldChar w:fldCharType="end"/>
      </w:r>
      <w:r>
        <w:fldChar w:fldCharType="end"/>
      </w:r>
    </w:p>
    <w:p>
      <w:r>
        <w:fldChar w:fldCharType="end"/>
      </w:r>
    </w:p>
    <w:p>
      <w:pPr>
        <w:pStyle w:val="2"/>
        <w:rPr>
          <w:rFonts w:hint="default"/>
          <w:lang w:val="en-US"/>
        </w:rPr>
        <w:sectPr>
          <w:pgSz w:w="12240" w:h="15840"/>
          <w:pgMar w:top="1440" w:right="1800" w:bottom="1440" w:left="1800" w:header="720" w:footer="720" w:gutter="0"/>
          <w:pgNumType w:fmt="lowerRoman"/>
          <w:cols w:space="720" w:num="1"/>
          <w:docGrid w:linePitch="360" w:charSpace="0"/>
        </w:sectPr>
      </w:pPr>
      <w:r>
        <w:rPr>
          <w:rFonts w:hint="default"/>
          <w:lang w:val="en-US"/>
        </w:rPr>
        <w:t xml:space="preserve"> </w:t>
      </w:r>
    </w:p>
    <w:p>
      <w:pPr>
        <w:pStyle w:val="2"/>
        <w:rPr>
          <w:rFonts w:hint="default"/>
          <w:lang w:val="en-US"/>
        </w:rPr>
      </w:pPr>
      <w:r>
        <w:rPr>
          <w:rFonts w:hint="default"/>
          <w:lang w:val="en-US"/>
        </w:rPr>
        <w:t xml:space="preserve">LIST OF APPENDICES </w:t>
      </w:r>
    </w:p>
    <w:p>
      <w:pPr>
        <w:pStyle w:val="22"/>
        <w:keepNext w:val="0"/>
        <w:keepLines w:val="0"/>
        <w:pageBreakBefore w:val="0"/>
        <w:widowControl/>
        <w:tabs>
          <w:tab w:val="right" w:leader="dot" w:pos="8640"/>
        </w:tabs>
        <w:kinsoku/>
        <w:wordWrap/>
        <w:overflowPunct/>
        <w:topLinePunct w:val="0"/>
        <w:autoSpaceDE/>
        <w:autoSpaceDN/>
        <w:bidi w:val="0"/>
        <w:adjustRightInd/>
        <w:snapToGrid/>
        <w:spacing w:before="0"/>
        <w:textAlignment w:val="auto"/>
      </w:pPr>
      <w:r>
        <w:rPr>
          <w:rFonts w:hint="default"/>
          <w:lang w:val="en-US"/>
        </w:rPr>
        <w:fldChar w:fldCharType="begin"/>
      </w:r>
      <w:r>
        <w:rPr>
          <w:rFonts w:hint="default"/>
          <w:lang w:val="en-US"/>
        </w:rPr>
        <w:instrText xml:space="preserve">TOC \t "Heading 6" \h \c</w:instrText>
      </w:r>
      <w:r>
        <w:rPr>
          <w:rFonts w:hint="default"/>
          <w:lang w:val="en-US"/>
        </w:rPr>
        <w:fldChar w:fldCharType="separate"/>
      </w:r>
      <w:r>
        <w:rPr>
          <w:rFonts w:hint="default"/>
          <w:lang w:val="en-US"/>
        </w:rPr>
        <w:fldChar w:fldCharType="begin"/>
      </w:r>
      <w:r>
        <w:rPr>
          <w:rFonts w:hint="default"/>
          <w:lang w:val="en-US"/>
        </w:rPr>
        <w:instrText xml:space="preserve"> HYPERLINK \l _Toc4787 </w:instrText>
      </w:r>
      <w:r>
        <w:rPr>
          <w:rFonts w:hint="default"/>
          <w:lang w:val="en-US"/>
        </w:rPr>
        <w:fldChar w:fldCharType="separate"/>
      </w:r>
      <w:r>
        <w:t xml:space="preserve">Appendix I: </w:t>
      </w:r>
      <w:r>
        <w:rPr>
          <w:rFonts w:hint="default"/>
        </w:rPr>
        <w:t xml:space="preserve"> Study</w:t>
      </w:r>
      <w:r>
        <w:rPr>
          <w:rFonts w:hint="default"/>
          <w:lang w:val="en-US"/>
        </w:rPr>
        <w:t xml:space="preserve"> </w:t>
      </w:r>
      <w:r>
        <w:t>Questionnaire</w:t>
      </w:r>
      <w:r>
        <w:tab/>
      </w:r>
      <w:r>
        <w:fldChar w:fldCharType="begin"/>
      </w:r>
      <w:r>
        <w:instrText xml:space="preserve"> PAGEREF _Toc4787 \h </w:instrText>
      </w:r>
      <w:r>
        <w:fldChar w:fldCharType="separate"/>
      </w:r>
      <w:r>
        <w:t>74</w:t>
      </w:r>
      <w:r>
        <w:fldChar w:fldCharType="end"/>
      </w:r>
      <w:r>
        <w:rPr>
          <w:rFonts w:hint="default"/>
          <w:lang w:val="en-US"/>
        </w:rPr>
        <w:fldChar w:fldCharType="end"/>
      </w:r>
    </w:p>
    <w:p>
      <w:pPr>
        <w:pStyle w:val="22"/>
        <w:keepNext w:val="0"/>
        <w:keepLines w:val="0"/>
        <w:pageBreakBefore w:val="0"/>
        <w:widowControl/>
        <w:tabs>
          <w:tab w:val="right" w:leader="dot" w:pos="8640"/>
        </w:tabs>
        <w:kinsoku/>
        <w:wordWrap/>
        <w:overflowPunct/>
        <w:topLinePunct w:val="0"/>
        <w:autoSpaceDE/>
        <w:autoSpaceDN/>
        <w:bidi w:val="0"/>
        <w:adjustRightInd/>
        <w:snapToGrid/>
        <w:spacing w:before="0"/>
        <w:textAlignment w:val="auto"/>
      </w:pPr>
      <w:r>
        <w:rPr>
          <w:rFonts w:hint="default"/>
          <w:lang w:val="en-US"/>
        </w:rPr>
        <w:fldChar w:fldCharType="begin"/>
      </w:r>
      <w:r>
        <w:rPr>
          <w:rFonts w:hint="default"/>
          <w:lang w:val="en-US"/>
        </w:rPr>
        <w:instrText xml:space="preserve"> HYPERLINK \l _Toc21794 </w:instrText>
      </w:r>
      <w:r>
        <w:rPr>
          <w:rFonts w:hint="default"/>
          <w:lang w:val="en-US"/>
        </w:rPr>
        <w:fldChar w:fldCharType="separate"/>
      </w:r>
      <w:r>
        <w:t>Appendix II:  Interview Guide with Key Informants</w:t>
      </w:r>
      <w:r>
        <w:tab/>
      </w:r>
      <w:r>
        <w:fldChar w:fldCharType="begin"/>
      </w:r>
      <w:r>
        <w:instrText xml:space="preserve"> PAGEREF _Toc21794 \h </w:instrText>
      </w:r>
      <w:r>
        <w:fldChar w:fldCharType="separate"/>
      </w:r>
      <w:r>
        <w:t>82</w:t>
      </w:r>
      <w:r>
        <w:fldChar w:fldCharType="end"/>
      </w:r>
      <w:r>
        <w:rPr>
          <w:rFonts w:hint="default"/>
          <w:lang w:val="en-US"/>
        </w:rPr>
        <w:fldChar w:fldCharType="end"/>
      </w:r>
    </w:p>
    <w:p>
      <w:pPr>
        <w:pStyle w:val="22"/>
        <w:keepNext w:val="0"/>
        <w:keepLines w:val="0"/>
        <w:pageBreakBefore w:val="0"/>
        <w:widowControl/>
        <w:tabs>
          <w:tab w:val="right" w:leader="dot" w:pos="8640"/>
        </w:tabs>
        <w:kinsoku/>
        <w:wordWrap/>
        <w:overflowPunct/>
        <w:topLinePunct w:val="0"/>
        <w:autoSpaceDE/>
        <w:autoSpaceDN/>
        <w:bidi w:val="0"/>
        <w:adjustRightInd/>
        <w:snapToGrid/>
        <w:spacing w:before="0"/>
        <w:textAlignment w:val="auto"/>
      </w:pPr>
      <w:r>
        <w:rPr>
          <w:rFonts w:hint="default"/>
          <w:lang w:val="en-US"/>
        </w:rPr>
        <w:fldChar w:fldCharType="begin"/>
      </w:r>
      <w:r>
        <w:rPr>
          <w:rFonts w:hint="default"/>
          <w:lang w:val="en-US"/>
        </w:rPr>
        <w:instrText xml:space="preserve"> HYPERLINK \l _Toc5734 </w:instrText>
      </w:r>
      <w:r>
        <w:rPr>
          <w:rFonts w:hint="default"/>
          <w:lang w:val="en-US"/>
        </w:rPr>
        <w:fldChar w:fldCharType="separate"/>
      </w:r>
      <w:r>
        <w:rPr>
          <w:rFonts w:hint="default"/>
          <w:lang w:eastAsia="en-GB"/>
        </w:rPr>
        <w:t>Appendix I</w:t>
      </w:r>
      <w:r>
        <w:rPr>
          <w:rFonts w:hint="default"/>
          <w:lang w:val="en-US" w:eastAsia="en-GB"/>
        </w:rPr>
        <w:t>I</w:t>
      </w:r>
      <w:r>
        <w:rPr>
          <w:rFonts w:hint="default"/>
          <w:lang w:eastAsia="en-GB"/>
        </w:rPr>
        <w:t>I: Budget for the project</w:t>
      </w:r>
      <w:r>
        <w:tab/>
      </w:r>
      <w:r>
        <w:fldChar w:fldCharType="begin"/>
      </w:r>
      <w:r>
        <w:instrText xml:space="preserve"> PAGEREF _Toc5734 \h </w:instrText>
      </w:r>
      <w:r>
        <w:fldChar w:fldCharType="separate"/>
      </w:r>
      <w:r>
        <w:t>86</w:t>
      </w:r>
      <w:r>
        <w:fldChar w:fldCharType="end"/>
      </w:r>
      <w:r>
        <w:rPr>
          <w:rFonts w:hint="default"/>
          <w:lang w:val="en-US"/>
        </w:rPr>
        <w:fldChar w:fldCharType="end"/>
      </w:r>
    </w:p>
    <w:p>
      <w:pPr>
        <w:pStyle w:val="22"/>
        <w:keepNext w:val="0"/>
        <w:keepLines w:val="0"/>
        <w:pageBreakBefore w:val="0"/>
        <w:widowControl/>
        <w:tabs>
          <w:tab w:val="right" w:leader="dot" w:pos="8640"/>
        </w:tabs>
        <w:kinsoku/>
        <w:wordWrap/>
        <w:overflowPunct/>
        <w:topLinePunct w:val="0"/>
        <w:autoSpaceDE/>
        <w:autoSpaceDN/>
        <w:bidi w:val="0"/>
        <w:adjustRightInd/>
        <w:snapToGrid/>
        <w:spacing w:before="0"/>
        <w:textAlignment w:val="auto"/>
      </w:pPr>
      <w:r>
        <w:rPr>
          <w:rFonts w:hint="default"/>
          <w:lang w:val="en-US"/>
        </w:rPr>
        <w:fldChar w:fldCharType="begin"/>
      </w:r>
      <w:r>
        <w:rPr>
          <w:rFonts w:hint="default"/>
          <w:lang w:val="en-US"/>
        </w:rPr>
        <w:instrText xml:space="preserve"> HYPERLINK \l _Toc26964 </w:instrText>
      </w:r>
      <w:r>
        <w:rPr>
          <w:rFonts w:hint="default"/>
          <w:lang w:val="en-US"/>
        </w:rPr>
        <w:fldChar w:fldCharType="separate"/>
      </w:r>
      <w:r>
        <w:rPr>
          <w:rFonts w:hint="default"/>
          <w:lang w:eastAsia="en-GB"/>
        </w:rPr>
        <w:t xml:space="preserve">APPENDIX III: Schedule </w:t>
      </w:r>
      <w:r>
        <w:rPr>
          <w:rFonts w:hint="default"/>
          <w:lang w:val="en-US" w:eastAsia="en-GB"/>
        </w:rPr>
        <w:t>o</w:t>
      </w:r>
      <w:r>
        <w:rPr>
          <w:rFonts w:hint="default"/>
          <w:lang w:eastAsia="en-GB"/>
        </w:rPr>
        <w:t>f Activities</w:t>
      </w:r>
      <w:r>
        <w:tab/>
      </w:r>
      <w:r>
        <w:fldChar w:fldCharType="begin"/>
      </w:r>
      <w:r>
        <w:instrText xml:space="preserve"> PAGEREF _Toc26964 \h </w:instrText>
      </w:r>
      <w:r>
        <w:fldChar w:fldCharType="separate"/>
      </w:r>
      <w:r>
        <w:t>87</w:t>
      </w:r>
      <w:r>
        <w:fldChar w:fldCharType="end"/>
      </w:r>
      <w:r>
        <w:rPr>
          <w:rFonts w:hint="default"/>
          <w:lang w:val="en-US"/>
        </w:rPr>
        <w:fldChar w:fldCharType="end"/>
      </w:r>
    </w:p>
    <w:p>
      <w:pPr>
        <w:pStyle w:val="22"/>
        <w:keepNext w:val="0"/>
        <w:keepLines w:val="0"/>
        <w:pageBreakBefore w:val="0"/>
        <w:widowControl/>
        <w:tabs>
          <w:tab w:val="right" w:leader="dot" w:pos="8640"/>
        </w:tabs>
        <w:kinsoku/>
        <w:wordWrap/>
        <w:overflowPunct/>
        <w:topLinePunct w:val="0"/>
        <w:autoSpaceDE/>
        <w:autoSpaceDN/>
        <w:bidi w:val="0"/>
        <w:adjustRightInd/>
        <w:snapToGrid/>
        <w:spacing w:before="0"/>
        <w:textAlignment w:val="auto"/>
      </w:pPr>
      <w:r>
        <w:rPr>
          <w:rFonts w:hint="default"/>
          <w:lang w:val="en-US"/>
        </w:rPr>
        <w:fldChar w:fldCharType="begin"/>
      </w:r>
      <w:r>
        <w:rPr>
          <w:rFonts w:hint="default"/>
          <w:lang w:val="en-US"/>
        </w:rPr>
        <w:instrText xml:space="preserve"> HYPERLINK \l _Toc23303 </w:instrText>
      </w:r>
      <w:r>
        <w:rPr>
          <w:rFonts w:hint="default"/>
          <w:lang w:val="en-US"/>
        </w:rPr>
        <w:fldChar w:fldCharType="separate"/>
      </w:r>
      <w:r>
        <w:rPr>
          <w:rFonts w:hint="default"/>
          <w:lang w:val="en-US"/>
        </w:rPr>
        <w:t xml:space="preserve">Appendix 1V </w:t>
      </w:r>
      <w:r>
        <w:rPr>
          <w:rFonts w:hint="default"/>
        </w:rPr>
        <w:t>Introductory Letter for Data Collection</w:t>
      </w:r>
      <w:r>
        <w:tab/>
      </w:r>
      <w:r>
        <w:fldChar w:fldCharType="begin"/>
      </w:r>
      <w:r>
        <w:instrText xml:space="preserve"> PAGEREF _Toc23303 \h </w:instrText>
      </w:r>
      <w:r>
        <w:fldChar w:fldCharType="separate"/>
      </w:r>
      <w:r>
        <w:t>88</w:t>
      </w:r>
      <w:r>
        <w:fldChar w:fldCharType="end"/>
      </w:r>
      <w:r>
        <w:rPr>
          <w:rFonts w:hint="default"/>
          <w:lang w:val="en-US"/>
        </w:rPr>
        <w:fldChar w:fldCharType="end"/>
      </w:r>
    </w:p>
    <w:p>
      <w:pPr>
        <w:pStyle w:val="22"/>
        <w:keepNext w:val="0"/>
        <w:keepLines w:val="0"/>
        <w:pageBreakBefore w:val="0"/>
        <w:widowControl/>
        <w:tabs>
          <w:tab w:val="right" w:leader="dot" w:pos="8640"/>
        </w:tabs>
        <w:kinsoku/>
        <w:wordWrap/>
        <w:overflowPunct/>
        <w:topLinePunct w:val="0"/>
        <w:autoSpaceDE/>
        <w:autoSpaceDN/>
        <w:bidi w:val="0"/>
        <w:adjustRightInd/>
        <w:snapToGrid/>
        <w:spacing w:before="0"/>
        <w:textAlignment w:val="auto"/>
      </w:pPr>
      <w:r>
        <w:rPr>
          <w:rFonts w:hint="default"/>
          <w:lang w:val="en-US"/>
        </w:rPr>
        <w:fldChar w:fldCharType="begin"/>
      </w:r>
      <w:r>
        <w:rPr>
          <w:rFonts w:hint="default"/>
          <w:lang w:val="en-US"/>
        </w:rPr>
        <w:instrText xml:space="preserve"> HYPERLINK \l _Toc31336 </w:instrText>
      </w:r>
      <w:r>
        <w:rPr>
          <w:rFonts w:hint="default"/>
          <w:lang w:val="en-US"/>
        </w:rPr>
        <w:fldChar w:fldCharType="separate"/>
      </w:r>
      <w:r>
        <w:rPr>
          <w:rFonts w:hint="default"/>
          <w:lang w:val="en-US"/>
        </w:rPr>
        <w:t xml:space="preserve">APPENDIX V </w:t>
      </w:r>
      <w:r>
        <w:rPr>
          <w:rFonts w:hint="default"/>
        </w:rPr>
        <w:t>Permission Letter for Conducting Research at</w:t>
      </w:r>
      <w:r>
        <w:rPr>
          <w:rFonts w:hint="default"/>
          <w:lang w:val="en-US"/>
        </w:rPr>
        <w:t xml:space="preserve"> </w:t>
      </w:r>
      <w:r>
        <w:t>Tanzania Public Service Social Security Fund (PSSSF), Dar Es Salaam</w:t>
      </w:r>
      <w:r>
        <w:tab/>
      </w:r>
      <w:r>
        <w:fldChar w:fldCharType="begin"/>
      </w:r>
      <w:r>
        <w:instrText xml:space="preserve"> PAGEREF _Toc31336 \h </w:instrText>
      </w:r>
      <w:r>
        <w:fldChar w:fldCharType="separate"/>
      </w:r>
      <w:r>
        <w:t>89</w:t>
      </w:r>
      <w:r>
        <w:fldChar w:fldCharType="end"/>
      </w:r>
      <w:r>
        <w:rPr>
          <w:rFonts w:hint="default"/>
          <w:lang w:val="en-US"/>
        </w:rPr>
        <w:fldChar w:fldCharType="end"/>
      </w:r>
    </w:p>
    <w:p>
      <w:pPr>
        <w:rPr>
          <w:rFonts w:hint="default"/>
          <w:lang w:val="en-US"/>
        </w:rPr>
        <w:sectPr>
          <w:pgSz w:w="12240" w:h="15840"/>
          <w:pgMar w:top="1440" w:right="1800" w:bottom="1440" w:left="1800" w:header="720" w:footer="720" w:gutter="0"/>
          <w:pgNumType w:fmt="lowerRoman"/>
          <w:cols w:space="720" w:num="1"/>
          <w:docGrid w:linePitch="360" w:charSpace="0"/>
        </w:sectPr>
      </w:pPr>
      <w:r>
        <w:rPr>
          <w:rFonts w:hint="default"/>
          <w:lang w:val="en-US"/>
        </w:rPr>
        <w:fldChar w:fldCharType="end"/>
      </w:r>
    </w:p>
    <w:bookmarkEnd w:id="24"/>
    <w:p>
      <w:pPr>
        <w:pStyle w:val="2"/>
      </w:pPr>
      <w:bookmarkStart w:id="25" w:name="_Toc16799"/>
      <w:r>
        <w:t>CHAPTER ONE</w:t>
      </w:r>
      <w:bookmarkEnd w:id="25"/>
      <w:r>
        <w:t xml:space="preserve"> </w:t>
      </w:r>
    </w:p>
    <w:p>
      <w:pPr>
        <w:pStyle w:val="2"/>
      </w:pPr>
      <w:bookmarkStart w:id="26" w:name="_Toc19460"/>
      <w:r>
        <w:t>INTRODUCTION</w:t>
      </w:r>
      <w:bookmarkEnd w:id="26"/>
    </w:p>
    <w:p>
      <w:pPr>
        <w:keepNext/>
        <w:keepLines/>
        <w:spacing w:before="40" w:after="0"/>
        <w:outlineLvl w:val="1"/>
        <w:rPr>
          <w:rFonts w:eastAsia="Times New Roman" w:cs="Times New Roman"/>
          <w:b/>
          <w:bCs/>
          <w:szCs w:val="26"/>
        </w:rPr>
      </w:pPr>
      <w:bookmarkStart w:id="27" w:name="_Toc21449"/>
      <w:r>
        <w:rPr>
          <w:rFonts w:eastAsia="Times New Roman" w:cs="Times New Roman"/>
          <w:b/>
          <w:bCs/>
          <w:szCs w:val="26"/>
        </w:rPr>
        <w:t xml:space="preserve">1.0 </w:t>
      </w:r>
      <w:r>
        <w:rPr>
          <w:rFonts w:eastAsia="Times New Roman" w:cs="Times New Roman"/>
          <w:b/>
          <w:szCs w:val="26"/>
        </w:rPr>
        <w:t>Introduction</w:t>
      </w:r>
      <w:bookmarkEnd w:id="27"/>
    </w:p>
    <w:p>
      <w:pPr>
        <w:rPr>
          <w:rFonts w:cs="Times New Roman"/>
        </w:rPr>
      </w:pPr>
      <w:r>
        <w:rPr>
          <w:rFonts w:cs="Times New Roman"/>
        </w:rPr>
        <w:t>This chapter establishes the context for the study, examining the significance of social security in developing countries, the structure of Tanzania's social security system, and the rationale behind merging public sector funds. Additionally, it highlights the global trend toward mergers and acquisitions (M&amp;A) in public sector organizations and the anticipated effects on service delivery and customer satisfaction. The chapter presents the research objectives, questions, and hypotheses, along with the study’s justification, scope, limitations, and importance.</w:t>
      </w:r>
    </w:p>
    <w:p>
      <w:pPr>
        <w:keepNext/>
        <w:keepLines/>
        <w:spacing w:before="40" w:after="0"/>
        <w:outlineLvl w:val="1"/>
        <w:rPr>
          <w:rFonts w:eastAsia="Times New Roman" w:cs="Times New Roman"/>
          <w:b/>
          <w:szCs w:val="26"/>
        </w:rPr>
      </w:pPr>
      <w:bookmarkStart w:id="28" w:name="_Toc17421"/>
      <w:r>
        <w:rPr>
          <w:rFonts w:eastAsia="Times New Roman" w:cs="Times New Roman"/>
          <w:b/>
          <w:szCs w:val="26"/>
        </w:rPr>
        <w:t>1.1 Background of the Study</w:t>
      </w:r>
      <w:bookmarkEnd w:id="28"/>
    </w:p>
    <w:p>
      <w:r>
        <w:t>Social security schemes are essential for providing financial protection to individuals during significant life events that impact their ability to earn income, such as retirement, disability, illness, injury, and unemployment. These systems create a safety net by pooling contributions from workers, employers, and sometimes the government to offer various benefits, including retirement pensions, disability and health benefits, survivors' support, and unemployment assistance. Globally, many countries structure social security programs to ensure that citizens have access to fundamental social protections (World Bank, 20</w:t>
      </w:r>
      <w:r>
        <w:rPr>
          <w:rFonts w:hint="default"/>
          <w:lang w:val="en-US"/>
        </w:rPr>
        <w:t>2</w:t>
      </w:r>
      <w:r>
        <w:t>2; ILO, 2018). However, in countries with fragmented systems, multiple social security schemes often lead to inefficiencies, increased costs, and service redundancies, prompting reforms toward consolidation.</w:t>
      </w:r>
    </w:p>
    <w:p>
      <w:r>
        <w:t>In Tanzania, prior to 2018, the social security landscape was fragmented, with four separate funds providing overlapping services for different groups: the Public Service Pension Fund (PSPF) for civil servants, the Local Authorities Pensions Fund (LAPF) for local government employees, the Government Employees Provident Fund (GEPF) for government employees, and the Parastatal Pensions Fund (PPF) for parastatal employees (Public Service Social Security Fund Act, 2018). This fragmented structure resulted in significant challenges, such as high administrative costs, duplicated services, and an inability to fully leverage economies of scale. Consequently, members often experienced inconsistent service delivery, and the financial sustainability of the funds was threatened by these inefficiencies.</w:t>
      </w:r>
    </w:p>
    <w:p>
      <w:r>
        <w:t xml:space="preserve">To address these issues, the Tanzanian government consolidated the four funds into a single entity, the Public Service Social Security Fund (PSSSF), as part of a broader effort to enhance efficiency and sustainability in social security (PSSSF Act, 2018). This merger aligns with a global trend where many countries have pursued mergers and acquisitions (M&amp;A) within social security systems to streamline operations, improve resource management, and achieve financial stability. For instance, in 1998, Australia merged its superannuation funds to create a more unified system with lower administrative costs (Australian Government, </w:t>
      </w:r>
      <w:r>
        <w:rPr>
          <w:rFonts w:hint="default"/>
          <w:lang w:val="en-US"/>
        </w:rPr>
        <w:t>2015</w:t>
      </w:r>
      <w:r>
        <w:t>). In Canada, provincial pension plans were consolidated, a move aimed at improving financial risk management and reducing redundancy (Government of Canada, 20</w:t>
      </w:r>
      <w:r>
        <w:rPr>
          <w:rFonts w:hint="default"/>
          <w:lang w:val="en-US"/>
        </w:rPr>
        <w:t>1</w:t>
      </w:r>
      <w:r>
        <w:t>8). Similarly, in Africa, South Africa merged nine separate pension funds into a single entity in 2015 to optimize resource allocation and service delivery (National Treasury of South Africa, 2015). Kenya and Nigeria have also explored mergers within their social security systems to improve efficiency and reduce costs (National Social Security Fund of Kenya, 2018; National Pension Commission of Nigeria, 2019).</w:t>
      </w:r>
    </w:p>
    <w:p>
      <w:r>
        <w:t xml:space="preserve">In Tanzania, the 2018 merger was a strategic step to address the weaknesses of the previous fragmented system. Mergers and acquisitions (M&amp;A) in public sector institutions, including social security funds, are intended to reduce operational costs, enhance service quality, and strengthen financial sustainability (Deloitte, 2022). While the benefits of mergers can include increased efficiency and improved resource allocation, challenges such as organizational integration, staff morale, and operational disruptions also arise </w:t>
      </w:r>
      <w:r>
        <w:rPr>
          <w:rFonts w:hint="default"/>
          <w:lang w:val="en-US"/>
        </w:rPr>
        <w:t>(</w:t>
      </w:r>
      <w:r>
        <w:t>Bryson et al., 2018).</w:t>
      </w:r>
    </w:p>
    <w:p>
      <w:pPr>
        <w:sectPr>
          <w:footerReference r:id="rId8" w:type="default"/>
          <w:pgSz w:w="12240" w:h="15840"/>
          <w:pgMar w:top="1440" w:right="1800" w:bottom="1440" w:left="1800" w:header="720" w:footer="720" w:gutter="0"/>
          <w:pgNumType w:start="1"/>
          <w:cols w:space="720" w:num="1"/>
          <w:docGrid w:linePitch="360" w:charSpace="0"/>
        </w:sectPr>
      </w:pPr>
      <w:r>
        <w:t>This study seeks to examine the effects of the 2018 PSSSF merger in Tanzania, focusing on how it has influenced the welfare of public servants. By exploring the extent to which the merger has improved efficiency, financial sustainability, and service delivery, the research aims to provide a comprehensive understanding of the merger’s role in enhancing public servant welfare in Tanzania.</w:t>
      </w:r>
    </w:p>
    <w:p>
      <w:pPr>
        <w:pStyle w:val="3"/>
      </w:pPr>
      <w:bookmarkStart w:id="29" w:name="_Toc10041"/>
      <w:r>
        <w:t>1.2 Statement of the Problem</w:t>
      </w:r>
      <w:bookmarkEnd w:id="29"/>
    </w:p>
    <w:p>
      <w:r>
        <w:t>The consolidation of Tanzania's social security funds into the Public Service Social Security Fund (PSSSF) was intended to enhance efficiency, reduce administrative costs, and improve service delivery to better meet the needs of public servants (Public Service Social Security Fund Act, 2018). By merging previously separate social security funds into a single entity, the Tanzanian government aimed to create a streamlined system capable of more effective resource allocation and improved welfare for members. However, challenges related to customer satisfaction and engagement have emerged, raising concerns about whether the merger has truly met its objectives of enhancing public servants' welfare.</w:t>
      </w:r>
    </w:p>
    <w:p>
      <w:r>
        <w:t>Dissatisfaction among members, coupled with low levels of engagement, indicates that the merger may not yet be fulfilling its intended outcomes. Limited member interaction with the PSSSF and a perceived lack of responsiveness can diminish trust in the system, potentially leading to reduced contributions and weakening the fund’s ability to meet its long-term commitments (ILO, 2018; World Bank, 2020). Furthermore, these challenges undermine the PSSSF's potential to support Tanzania’s broader social development goals, such as poverty reduction, financial inclusion, and good governance (United Nations Development Programme, 2021).</w:t>
      </w:r>
    </w:p>
    <w:p>
      <w:r>
        <w:t>Given these issues, it is essential to examine the actual contribution of the merger in enhancing the welfare of public servants. This study seeks to assess the impact of the PSSSF merger on service delivery, financial sustainability, and member satisfaction to determine whether the merger has achieved its intended objectives. Understanding the effects of the merger on the welfare of public servants is crucial for evaluating the effectiveness of social security reforms in Tanzania and identifying areas for improvement to ensure that the system fully supports its members and contributes to the nation’s development goals (Bryson et al., 2018; Deloitte, 2022).</w:t>
      </w:r>
    </w:p>
    <w:p>
      <w:pPr>
        <w:sectPr>
          <w:pgSz w:w="12240" w:h="15840"/>
          <w:pgMar w:top="1440" w:right="1800" w:bottom="1440" w:left="1800" w:header="720" w:footer="720" w:gutter="0"/>
          <w:cols w:space="720" w:num="1"/>
          <w:docGrid w:linePitch="360" w:charSpace="0"/>
        </w:sectPr>
      </w:pPr>
    </w:p>
    <w:p>
      <w:pPr>
        <w:pStyle w:val="3"/>
      </w:pPr>
      <w:bookmarkStart w:id="30" w:name="_Toc16831"/>
      <w:r>
        <w:t>1.3 Research Objectives</w:t>
      </w:r>
      <w:bookmarkEnd w:id="30"/>
    </w:p>
    <w:p>
      <w:pPr>
        <w:pStyle w:val="3"/>
      </w:pPr>
      <w:bookmarkStart w:id="31" w:name="_Toc17981"/>
      <w:r>
        <w:t>1.3.1 General Objective</w:t>
      </w:r>
      <w:bookmarkEnd w:id="31"/>
    </w:p>
    <w:p>
      <w:r>
        <w:t>To evaluate the effect of mergers and acquisitions on enhancing the welfare of public servants in Tanzania, focusing on the case of the Public Service Social Security Fund (PSSSF) in Dar es Salaam.</w:t>
      </w:r>
    </w:p>
    <w:p>
      <w:pPr>
        <w:pStyle w:val="3"/>
      </w:pPr>
      <w:bookmarkStart w:id="32" w:name="_Toc7167"/>
      <w:r>
        <w:t>1.3.2 Specific Objectives</w:t>
      </w:r>
      <w:bookmarkEnd w:id="32"/>
    </w:p>
    <w:p>
      <w:pPr>
        <w:pStyle w:val="38"/>
        <w:numPr>
          <w:ilvl w:val="0"/>
          <w:numId w:val="1"/>
        </w:numPr>
      </w:pPr>
      <w:r>
        <w:t>To investigate the perceptions of public servants regarding the welfare benefits provided by the PSSSF after the mergers and acquisitions.</w:t>
      </w:r>
    </w:p>
    <w:p>
      <w:pPr>
        <w:pStyle w:val="38"/>
        <w:numPr>
          <w:ilvl w:val="0"/>
          <w:numId w:val="1"/>
        </w:numPr>
      </w:pPr>
      <w:r>
        <w:t>To assess the changes in service delivery and administrative efficiency of the PSSSF following the mergers and acquisitions.</w:t>
      </w:r>
    </w:p>
    <w:p>
      <w:pPr>
        <w:pStyle w:val="38"/>
        <w:numPr>
          <w:ilvl w:val="0"/>
          <w:numId w:val="1"/>
        </w:numPr>
      </w:pPr>
      <w:r>
        <w:t>To identify the factors influencing the effectiveness of the PSSSF in enhancing the welfare of public servants’ post-merger.</w:t>
      </w:r>
    </w:p>
    <w:p>
      <w:pPr>
        <w:pStyle w:val="3"/>
      </w:pPr>
      <w:bookmarkStart w:id="33" w:name="_Toc4789"/>
      <w:r>
        <w:t>1.4 Research Questions</w:t>
      </w:r>
      <w:bookmarkEnd w:id="33"/>
    </w:p>
    <w:p>
      <w:pPr>
        <w:pStyle w:val="38"/>
        <w:numPr>
          <w:ilvl w:val="0"/>
          <w:numId w:val="2"/>
        </w:numPr>
      </w:pPr>
      <w:r>
        <w:t>What are public servants' perceptions of the welfare benefits provided by the PSSSF after the mergers and acquisitions?</w:t>
      </w:r>
    </w:p>
    <w:p>
      <w:pPr>
        <w:pStyle w:val="38"/>
        <w:numPr>
          <w:ilvl w:val="0"/>
          <w:numId w:val="2"/>
        </w:numPr>
      </w:pPr>
      <w:r>
        <w:t>What changes, if any, have been observed in the service delivery and administrative efficiency of the PSSSF following the mergers and acquisitions?</w:t>
      </w:r>
    </w:p>
    <w:p>
      <w:pPr>
        <w:pStyle w:val="38"/>
        <w:numPr>
          <w:ilvl w:val="0"/>
          <w:numId w:val="2"/>
        </w:numPr>
      </w:pPr>
      <w:r>
        <w:t>What factors influence the effectiveness of the PSSSF in enhancing the welfare of public servants post-merger?</w:t>
      </w:r>
    </w:p>
    <w:p>
      <w:pPr>
        <w:pStyle w:val="3"/>
      </w:pPr>
      <w:bookmarkStart w:id="34" w:name="_Toc8597"/>
      <w:r>
        <w:t>1.5 Justification of the Study</w:t>
      </w:r>
      <w:bookmarkEnd w:id="34"/>
    </w:p>
    <w:p>
      <w:r>
        <w:t xml:space="preserve">The recent merger of Tanzania's social security funds into the Public Service Social Security Fund (PSSSF) aimed to streamline the system and improve efficiency (Public Service Social Security Fund Act, 2018). However, ensuring high </w:t>
      </w:r>
      <w:r>
        <w:rPr>
          <w:bCs/>
        </w:rPr>
        <w:t>customer engagement</w:t>
      </w:r>
      <w:r>
        <w:t xml:space="preserve"> with the newly formed PSSSF remains critical.</w:t>
      </w:r>
    </w:p>
    <w:p>
      <w:r>
        <w:t xml:space="preserve">This study is justified for several reasons: </w:t>
      </w:r>
      <w:r>
        <w:rPr>
          <w:bCs/>
        </w:rPr>
        <w:t>Limited Research on Customer Engagement:</w:t>
      </w:r>
      <w:r>
        <w:t xml:space="preserve"> Existing research on mergers in Tanzanian public organizations primarily focuses on financial aspects or operational efficiency, neglecting the crucial factor of customer engagement (Mwerinde&amp; No, 201</w:t>
      </w:r>
      <w:r>
        <w:rPr>
          <w:rFonts w:hint="default"/>
          <w:lang w:val="en-US"/>
        </w:rPr>
        <w:t>9</w:t>
      </w:r>
      <w:r>
        <w:t>). This study aims to bridge this knowledge gap by understanding how customers perceive and experience the merger's impact on their engagement with the PSSSF. High customer engagement with social security systems is crucial. Disengaged members may be less likely to contribute regularly, trust the system's effectiveness, or actively seek information about their benefits. This can negatively impact the long-term financial sustainability of the PSSSF and ultimately undermine its ability to deliver on its social protection mandate (SDG 1: No Poverty). By understanding the factors influencing customer engagement, this research can provide valuable insights to inform the PSSSF's communication strategies, service delivery approaches, and member outreach initiatives. This can lead to improved engagement levels, ultimately benefiting both the organization and its members. Strengthening social security systems is a priority in Tanzania's Five-Year Development Plans (FYDPs) (Tanzania - United Republic of Tanzania, 2021). Customer engagement is vital for achieving these goals. This study's findings can contribute to Tanzania's efforts to promote social well-being and financial inclusion, aligning with national development objectives and the UN's Sustainable Development Goals (SDGs).</w:t>
      </w:r>
    </w:p>
    <w:p>
      <w:r>
        <w:t xml:space="preserve">The study's findings can help the PSSSF develop strategies to enhance customer engagement, leading to improved service delivery, member satisfaction, and ultimately a more sustainable social security system. </w:t>
      </w:r>
      <w:r>
        <w:rPr>
          <w:bCs/>
        </w:rPr>
        <w:t>PSSSF members b</w:t>
      </w:r>
      <w:r>
        <w:t>enefit from potentially improved services and communication.</w:t>
      </w:r>
    </w:p>
    <w:p>
      <w:r>
        <w:t xml:space="preserve">This research can inform policymakers on strategies to promote effective customer engagement in public social security institutions, contributing to broader social protection goals. Increased knowledge about customer engagement can contribute to improved social security services for all Tanzanians, ultimately enhancing their social well-being and financial security. </w:t>
      </w:r>
      <w:r>
        <w:rPr>
          <w:bCs/>
        </w:rPr>
        <w:t>In conclusion,</w:t>
      </w:r>
      <w:r>
        <w:t xml:space="preserve"> this study presents a valuable opportunity to investigate a critical yet under-researched area: customer engagement in the context of a public social security system merger in Tanzania. The findings hold the potential to benefit the PSSSF, policymakers, and ultimately, Tanzanian citizens by promoting a more efficient, effective, and socially responsible social security system.</w:t>
      </w:r>
    </w:p>
    <w:p/>
    <w:p>
      <w:pPr>
        <w:pStyle w:val="3"/>
      </w:pPr>
      <w:bookmarkStart w:id="35" w:name="_Toc110421499"/>
      <w:bookmarkStart w:id="36" w:name="_Toc14338"/>
      <w:bookmarkStart w:id="37" w:name="_Toc180438840"/>
      <w:bookmarkStart w:id="38" w:name="_Toc19019"/>
      <w:bookmarkStart w:id="39" w:name="_Toc19230"/>
      <w:r>
        <w:t>1.6 Scope</w:t>
      </w:r>
      <w:bookmarkEnd w:id="35"/>
      <w:r>
        <w:t xml:space="preserve"> of the study</w:t>
      </w:r>
      <w:bookmarkEnd w:id="36"/>
      <w:bookmarkEnd w:id="37"/>
      <w:bookmarkEnd w:id="38"/>
      <w:bookmarkEnd w:id="39"/>
    </w:p>
    <w:p>
      <w:pPr>
        <w:rPr>
          <w:bCs/>
        </w:rPr>
      </w:pPr>
      <w:r>
        <w:rPr>
          <w:bCs/>
        </w:rPr>
        <w:t xml:space="preserve">This study </w:t>
      </w:r>
      <w:r>
        <w:rPr>
          <w:bCs/>
          <w:lang w:val="en-US"/>
        </w:rPr>
        <w:t xml:space="preserve">was </w:t>
      </w:r>
      <w:r>
        <w:rPr>
          <w:bCs/>
        </w:rPr>
        <w:t>focus</w:t>
      </w:r>
      <w:r>
        <w:rPr>
          <w:rFonts w:hint="default"/>
          <w:bCs/>
          <w:lang w:val="en-US"/>
        </w:rPr>
        <w:t>ed</w:t>
      </w:r>
      <w:r>
        <w:rPr>
          <w:bCs/>
        </w:rPr>
        <w:t xml:space="preserve"> on investigating customer engagement with the Public Service Social Security Fund (PSSSF) in Tanzania following the recent merger of social security funds in 2018. The research </w:t>
      </w:r>
      <w:r>
        <w:rPr>
          <w:bCs/>
          <w:lang w:val="en-US"/>
        </w:rPr>
        <w:t xml:space="preserve">was  </w:t>
      </w:r>
      <w:r>
        <w:rPr>
          <w:bCs/>
        </w:rPr>
        <w:t xml:space="preserve"> target PSSSF members located across Tanzania. The study </w:t>
      </w:r>
      <w:r>
        <w:rPr>
          <w:bCs/>
          <w:lang w:val="en-US"/>
        </w:rPr>
        <w:t xml:space="preserve">was </w:t>
      </w:r>
      <w:r>
        <w:rPr>
          <w:bCs/>
        </w:rPr>
        <w:t xml:space="preserve"> primarily focus on PSSSF members, including active contributors, retirees, and potential future members who may be employed in the public sector. The research </w:t>
      </w:r>
      <w:r>
        <w:rPr>
          <w:bCs/>
          <w:lang w:val="en-US"/>
        </w:rPr>
        <w:t>was</w:t>
      </w:r>
      <w:r>
        <w:rPr>
          <w:rStyle w:val="13"/>
          <w:rFonts w:hint="default"/>
          <w:lang w:val="en-US"/>
        </w:rPr>
        <w:t xml:space="preserve"> </w:t>
      </w:r>
      <w:r>
        <w:rPr>
          <w:bCs/>
        </w:rPr>
        <w:t>investigate</w:t>
      </w:r>
      <w:r>
        <w:rPr>
          <w:rFonts w:hint="default"/>
          <w:bCs/>
          <w:lang w:val="en-US"/>
        </w:rPr>
        <w:t>d</w:t>
      </w:r>
      <w:r>
        <w:rPr>
          <w:bCs/>
        </w:rPr>
        <w:t xml:space="preserve"> customer engagement primarily in the period following the implementation of the social security fund merger. </w:t>
      </w:r>
    </w:p>
    <w:p>
      <w:pPr>
        <w:pStyle w:val="3"/>
      </w:pPr>
      <w:bookmarkStart w:id="40" w:name="_Toc110421500"/>
      <w:bookmarkStart w:id="41" w:name="_Toc4230"/>
      <w:bookmarkStart w:id="42" w:name="_Toc32374"/>
      <w:bookmarkStart w:id="43" w:name="_Toc16842"/>
      <w:bookmarkStart w:id="44" w:name="_Toc180438841"/>
      <w:r>
        <w:t>1.7 Limitation</w:t>
      </w:r>
      <w:bookmarkEnd w:id="40"/>
      <w:r>
        <w:t xml:space="preserve"> of the Study</w:t>
      </w:r>
      <w:bookmarkEnd w:id="41"/>
      <w:bookmarkEnd w:id="42"/>
      <w:bookmarkEnd w:id="43"/>
      <w:bookmarkEnd w:id="44"/>
    </w:p>
    <w:p>
      <w:pPr>
        <w:rPr>
          <w:bCs/>
        </w:rPr>
      </w:pPr>
      <w:r>
        <w:rPr>
          <w:bCs/>
        </w:rPr>
        <w:t>This study face</w:t>
      </w:r>
      <w:r>
        <w:rPr>
          <w:rFonts w:hint="default"/>
          <w:bCs/>
          <w:lang w:val="en-US"/>
        </w:rPr>
        <w:t>d</w:t>
      </w:r>
      <w:r>
        <w:rPr>
          <w:bCs/>
        </w:rPr>
        <w:t xml:space="preserve"> several limitations, but steps </w:t>
      </w:r>
      <w:r>
        <w:rPr>
          <w:bCs/>
          <w:lang w:val="en-US"/>
        </w:rPr>
        <w:t xml:space="preserve">was </w:t>
      </w:r>
      <w:r>
        <w:rPr>
          <w:bCs/>
        </w:rPr>
        <w:t xml:space="preserve"> taken to mitigate their impact. First, the focus on public servants within the PSSSF in Dar es Salaam may limit the generalizability of findings across Tanzania. To address this, efforts </w:t>
      </w:r>
      <w:r>
        <w:rPr>
          <w:bCs/>
          <w:lang w:val="en-US"/>
        </w:rPr>
        <w:t xml:space="preserve">was </w:t>
      </w:r>
      <w:r>
        <w:rPr>
          <w:bCs/>
        </w:rPr>
        <w:t xml:space="preserve"> made to gather diverse responses from a range of PSSSF branches where possible, capturing a broader spectrum of experiences. Additionally, data collection may rely on self-reported information, which could introduce recall bias or social desirability bias. To minimize this, questions </w:t>
      </w:r>
      <w:r>
        <w:rPr>
          <w:bCs/>
          <w:lang w:val="en-US"/>
        </w:rPr>
        <w:t xml:space="preserve">was </w:t>
      </w:r>
      <w:r>
        <w:rPr>
          <w:bCs/>
        </w:rPr>
        <w:t xml:space="preserve"> designed to be clear, neutral, and concise, and anonymous responses </w:t>
      </w:r>
      <w:r>
        <w:rPr>
          <w:bCs/>
          <w:lang w:val="en-US"/>
        </w:rPr>
        <w:t xml:space="preserve">was </w:t>
      </w:r>
      <w:r>
        <w:rPr>
          <w:bCs/>
        </w:rPr>
        <w:t xml:space="preserve"> encouraged to foster honest feedback. Accessing detailed data on service changes after the merger might also be challenging due to administrative or privacy constraints. To mitigate this, the study </w:t>
      </w:r>
      <w:r>
        <w:rPr>
          <w:bCs/>
          <w:lang w:val="en-US"/>
        </w:rPr>
        <w:t xml:space="preserve">was  </w:t>
      </w:r>
      <w:r>
        <w:rPr>
          <w:bCs/>
        </w:rPr>
        <w:t xml:space="preserve"> collaborate with PSSSF officials to access necessary aggregate or de-identified data, ensuring compliance with data privacy regulations. Lastly, as the merger is relatively recent, some long-term effects may not yet be fully observable. This limitation </w:t>
      </w:r>
      <w:r>
        <w:rPr>
          <w:bCs/>
          <w:lang w:val="en-US"/>
        </w:rPr>
        <w:t xml:space="preserve">was </w:t>
      </w:r>
      <w:r>
        <w:rPr>
          <w:bCs/>
        </w:rPr>
        <w:t xml:space="preserve"> addressed by supplementing quantitative data with qualitative insights from interviews, providing a nuanced understanding of both immediate and anticipated impacts on the welfare of public servants.</w:t>
      </w:r>
    </w:p>
    <w:p>
      <w:pPr>
        <w:pStyle w:val="3"/>
      </w:pPr>
      <w:bookmarkStart w:id="45" w:name="_Toc110421501"/>
      <w:bookmarkStart w:id="46" w:name="_Toc9463"/>
      <w:bookmarkStart w:id="47" w:name="_Toc32069"/>
      <w:bookmarkStart w:id="48" w:name="_Toc25415"/>
      <w:bookmarkStart w:id="49" w:name="_Toc180438842"/>
      <w:r>
        <w:t>1.8 Significance of the Study</w:t>
      </w:r>
      <w:bookmarkEnd w:id="45"/>
      <w:bookmarkEnd w:id="46"/>
      <w:bookmarkEnd w:id="47"/>
      <w:bookmarkEnd w:id="48"/>
      <w:bookmarkEnd w:id="49"/>
    </w:p>
    <w:p>
      <w:pPr>
        <w:tabs>
          <w:tab w:val="left" w:pos="423"/>
        </w:tabs>
      </w:pPr>
      <w:r>
        <w:t xml:space="preserve">This study is a partial requirement for the Master of Science in Marketing and Public Relations degree at the Tanzania Institute of Accountancy. It provides an academic foundation for understanding customer engagement within public sector mergers, particularly in developing nations. The study's insights </w:t>
      </w:r>
      <w:r>
        <w:rPr>
          <w:lang w:val="en-US"/>
        </w:rPr>
        <w:t xml:space="preserve">was </w:t>
      </w:r>
      <w:r>
        <w:t xml:space="preserve"> valuable for students and researchers interested in exploring the intersection of social security administration, public service management, and customer engagement. Its methodology offers a model for conducting similar research, equipping future scholars with knowledge in data collection, analysis, and interpretation, which can enrich their understanding of customer-centered approaches in the public sector.</w:t>
      </w:r>
    </w:p>
    <w:p>
      <w:pPr>
        <w:tabs>
          <w:tab w:val="left" w:pos="423"/>
        </w:tabs>
      </w:pPr>
      <w:r>
        <w:t xml:space="preserve">Furthermore, the findings from this study are expected to shed light on the impact of mergers and acquisitions on the welfare of public servants within Tanzania's social security landscape, specifically in the context of the Public Service Social Security Fund (PSSSF). By focusing on customer engagement, the study addresses a gap in existing research, which has largely emphasized financial and operational efficiencies rather than the welfare of public servants and their interaction with PSSSF services. The insights gained can guide PSSSF in refining communication strategies, enhancing service delivery, and improving member outreach to build a more responsive and member-focused system. Additionally, the findings </w:t>
      </w:r>
      <w:r>
        <w:rPr>
          <w:lang w:val="en-US"/>
        </w:rPr>
        <w:t xml:space="preserve">was  </w:t>
      </w:r>
      <w:r>
        <w:t xml:space="preserve"> support policymakers in developing strategies to foster effective customer engagement, thereby contributing to a resilient social security system aligned with Tanzania’s Five-Year Development Plans and Sustainable Development Goal 1 (No Poverty), ultimately advancing social well-being and financial security for Tanzanian citizens.</w:t>
      </w:r>
    </w:p>
    <w:p>
      <w:pPr>
        <w:sectPr>
          <w:pgSz w:w="12240" w:h="15840"/>
          <w:pgMar w:top="1440" w:right="1800" w:bottom="1440" w:left="1800" w:header="720" w:footer="720" w:gutter="0"/>
          <w:cols w:space="720" w:num="1"/>
          <w:docGrid w:linePitch="360" w:charSpace="0"/>
        </w:sectPr>
      </w:pPr>
    </w:p>
    <w:p>
      <w:pPr>
        <w:pStyle w:val="2"/>
        <w:rPr>
          <w:rFonts w:eastAsia="Times New Roman"/>
          <w:lang w:eastAsia="en-GB"/>
        </w:rPr>
      </w:pPr>
      <w:bookmarkStart w:id="50" w:name="_Toc110421502"/>
      <w:bookmarkStart w:id="51" w:name="_Toc8848"/>
      <w:bookmarkStart w:id="52" w:name="_Toc29530"/>
      <w:bookmarkStart w:id="53" w:name="_Toc31806"/>
      <w:bookmarkStart w:id="54" w:name="_Toc180438843"/>
      <w:r>
        <w:rPr>
          <w:rFonts w:eastAsia="Times New Roman"/>
          <w:lang w:val="en-GB" w:eastAsia="en-GB"/>
        </w:rPr>
        <w:t>C</w:t>
      </w:r>
      <w:r>
        <w:rPr>
          <w:rFonts w:eastAsia="Times New Roman"/>
          <w:lang w:eastAsia="en-GB"/>
        </w:rPr>
        <w:t xml:space="preserve">HAPTER </w:t>
      </w:r>
      <w:bookmarkEnd w:id="50"/>
      <w:bookmarkEnd w:id="51"/>
      <w:bookmarkEnd w:id="52"/>
      <w:r>
        <w:rPr>
          <w:rFonts w:eastAsia="Times New Roman"/>
          <w:lang w:eastAsia="en-GB"/>
        </w:rPr>
        <w:t>TWO</w:t>
      </w:r>
      <w:bookmarkEnd w:id="53"/>
      <w:bookmarkEnd w:id="54"/>
    </w:p>
    <w:p>
      <w:pPr>
        <w:pStyle w:val="2"/>
        <w:rPr>
          <w:rFonts w:eastAsia="Times New Roman"/>
          <w:lang w:eastAsia="en-GB"/>
        </w:rPr>
      </w:pPr>
      <w:bookmarkStart w:id="55" w:name="_Toc29691"/>
      <w:bookmarkStart w:id="56" w:name="_Toc1642"/>
      <w:bookmarkStart w:id="57" w:name="_Toc31571"/>
      <w:bookmarkStart w:id="58" w:name="_Toc110421503"/>
      <w:bookmarkStart w:id="59" w:name="_Toc180438844"/>
      <w:r>
        <w:rPr>
          <w:rFonts w:eastAsia="Times New Roman"/>
          <w:lang w:val="en-GB" w:eastAsia="en-GB"/>
        </w:rPr>
        <w:t>L</w:t>
      </w:r>
      <w:r>
        <w:rPr>
          <w:rFonts w:eastAsia="Times New Roman"/>
          <w:lang w:eastAsia="en-GB"/>
        </w:rPr>
        <w:t xml:space="preserve">ITERATURE </w:t>
      </w:r>
      <w:r>
        <w:rPr>
          <w:rFonts w:eastAsia="Times New Roman"/>
          <w:lang w:val="en-GB" w:eastAsia="en-GB"/>
        </w:rPr>
        <w:t>R</w:t>
      </w:r>
      <w:r>
        <w:rPr>
          <w:rFonts w:eastAsia="Times New Roman"/>
          <w:lang w:eastAsia="en-GB"/>
        </w:rPr>
        <w:t>EVIEW</w:t>
      </w:r>
      <w:bookmarkEnd w:id="55"/>
      <w:bookmarkEnd w:id="56"/>
      <w:bookmarkEnd w:id="57"/>
      <w:bookmarkEnd w:id="58"/>
      <w:bookmarkEnd w:id="59"/>
    </w:p>
    <w:p>
      <w:pPr>
        <w:keepNext/>
        <w:keepLines/>
        <w:spacing w:before="40" w:after="0"/>
        <w:outlineLvl w:val="1"/>
        <w:rPr>
          <w:rFonts w:eastAsia="Times New Roman" w:cs="Times New Roman"/>
          <w:bCs/>
          <w:szCs w:val="24"/>
          <w:lang w:eastAsia="en-GB"/>
        </w:rPr>
      </w:pPr>
      <w:bookmarkStart w:id="60" w:name="_Toc16872"/>
      <w:bookmarkStart w:id="61" w:name="_Toc180438845"/>
      <w:bookmarkStart w:id="62" w:name="_Toc3823"/>
      <w:bookmarkStart w:id="63" w:name="_Toc32647"/>
      <w:bookmarkStart w:id="64" w:name="_Toc110421504"/>
      <w:r>
        <w:rPr>
          <w:rFonts w:eastAsia="Times New Roman" w:cs="Times New Roman"/>
          <w:b/>
          <w:bCs/>
          <w:szCs w:val="24"/>
          <w:lang w:eastAsia="en-GB"/>
        </w:rPr>
        <w:t>2.0 Introduction</w:t>
      </w:r>
      <w:bookmarkEnd w:id="60"/>
      <w:bookmarkEnd w:id="61"/>
      <w:bookmarkEnd w:id="62"/>
      <w:bookmarkEnd w:id="63"/>
      <w:bookmarkEnd w:id="64"/>
    </w:p>
    <w:p>
      <w:pPr>
        <w:rPr>
          <w:sz w:val="10"/>
          <w:szCs w:val="8"/>
        </w:rPr>
      </w:pPr>
      <w:r>
        <w:t>This chapter delves into the elucidation of essential terms, theoretical perspectives, empirical studies, and the conceptual framework, focusing on the effects of employee participation in decision-making concerning organizational performance as explored and elucidated by various scholars.</w:t>
      </w:r>
    </w:p>
    <w:p>
      <w:pPr>
        <w:pStyle w:val="3"/>
        <w:rPr>
          <w:rFonts w:eastAsia="Calibri"/>
          <w:lang w:val="en-GB"/>
        </w:rPr>
      </w:pPr>
      <w:bookmarkStart w:id="65" w:name="_Toc20032"/>
      <w:bookmarkStart w:id="66" w:name="_Toc179240807"/>
      <w:bookmarkStart w:id="67" w:name="_Toc181809882"/>
      <w:r>
        <w:rPr>
          <w:rFonts w:eastAsia="Calibri"/>
          <w:lang w:val="en-GB"/>
        </w:rPr>
        <w:t>2.2 The Conceptual Definitions</w:t>
      </w:r>
      <w:bookmarkEnd w:id="65"/>
      <w:bookmarkEnd w:id="66"/>
      <w:bookmarkEnd w:id="67"/>
    </w:p>
    <w:p>
      <w:pPr>
        <w:pStyle w:val="4"/>
        <w:rPr>
          <w:lang w:val="en-GB"/>
        </w:rPr>
      </w:pPr>
      <w:bookmarkStart w:id="68" w:name="_Toc28938"/>
      <w:r>
        <w:rPr>
          <w:lang w:val="en-GB"/>
        </w:rPr>
        <w:t xml:space="preserve">2.2.1 </w:t>
      </w:r>
      <w:r>
        <w:t>Mergers and Acquisitions (M&amp;A)</w:t>
      </w:r>
      <w:bookmarkEnd w:id="68"/>
    </w:p>
    <w:p>
      <w:r>
        <w:t>Mergers and Acquisitions (M&amp;A) refer to the strategic process where two or more organizations combine (merger) or one company takes over another (acquisition) to achieve greater efficiencies, reduce costs, and improve service delivery. This approach is frequently used to streamline operations, optimize resource allocation, and enhance market positions, particularly in both the private and public sectors. In the public sector, M&amp;A activities often aim to consolidate administrative functions and improve financial sustainability. Studies, such as those by  Deloitte (2022), show that M&amp;A can lead to efficiency gains and service improvements, especially in sectors like social security schemes. However, M&amp;A can be challenging, with many deals failing to meet their intended goals due to integration difficulties and organizational mismatches. Despite these risks, M&amp;A remains a popular strategy for expanding market reach and increasing competitive advantages (Pandey &amp; Yuan, 2019).</w:t>
      </w:r>
    </w:p>
    <w:p>
      <w:pPr>
        <w:pStyle w:val="4"/>
      </w:pPr>
      <w:bookmarkStart w:id="69" w:name="_Toc14588"/>
      <w:r>
        <w:t>2.2.2 The Public Service Social Security Fund (PSSSF)</w:t>
      </w:r>
      <w:bookmarkEnd w:id="69"/>
    </w:p>
    <w:p>
      <w:r>
        <w:t>The Public Service Social Security Fund (PSSSF) in Tanzania is a prime example of an M&amp;A in the public sector. It was created through the merger of several previous pension funds, including the Public Service Pension Fund (PSPF), Government Employees Provident Fund (GEPF), Local Authorities Pensions Fund (LAPF), and Parastatal Pensions Fund (PPF). This consolidation aimed to streamline administrative processes, reduce operational costs, and enhance the financial sustainability of the system for public sector employees. The formation of the PSSSF is in line with a broader trend of merging pension and social security schemes to improve service delivery and ensure long-term viability. Studies, such as the World Bank (2014) and ILO (2018) reports, have examined the PSSSF’s impact on social security administration, highlighting its success in improving service delivery for public servants and identifying challenges related to the merger's implementation. This case demonstrates how M&amp;A can be applied in the public sector to achieve greater operational efficiency and improve the welfare of citizens (Public Service Social Security Fund Act, 2018).</w:t>
      </w:r>
    </w:p>
    <w:p>
      <w:pPr>
        <w:pStyle w:val="4"/>
      </w:pPr>
      <w:bookmarkStart w:id="70" w:name="_Toc30887"/>
      <w:r>
        <w:t>2.2.3 Customer Engagement</w:t>
      </w:r>
      <w:bookmarkEnd w:id="70"/>
    </w:p>
    <w:p>
      <w:r>
        <w:t>Customer engagement refers to the degree of interaction and involvement that members have with a service or organization, in this case, the Public Service Social Security Fund (PSSSF). It encompasses members' satisfaction, trust, and their active participation in the services provided. Various studies highlight the importance of customer engagement in improving service outcomes, especially in the public sector. For instance, Chathoth et al. (2016) argue that high levels of customer engagement enhance service quality perceptions and long-term relationships with public institutions. Gustafsson et al. (2005) further discuss how engagement leads to improved member satisfaction, which is linked to higher levels of trust and loyalty. In the context of PSSSF, engagement can be viewed through the lens of how actively members interact with the fund, including their involvement in decision-making processes, participation in surveys, and the ease with which they access services.</w:t>
      </w:r>
    </w:p>
    <w:p>
      <w:r>
        <w:t>According to Mushy (2023), customer engagement in social security schemes is influenced by service quality dimensions such as tangibility, reliability, empathy, responsiveness, and assurance. The study found that these factors significantly predict customer satisfaction, highlighting the importance of maintaining high service quality to foster engagement. Additionally, Togolai (2023) examined the influence of electronic Customer Relationship Management (e-CRM) strategies on customer satisfaction at PSSSF, finding that interaction services, information services, and service quality positively impact customer engagement.</w:t>
      </w:r>
    </w:p>
    <w:p>
      <w:pPr>
        <w:pStyle w:val="4"/>
      </w:pPr>
      <w:bookmarkStart w:id="71" w:name="_Toc14800"/>
      <w:r>
        <w:t>2.2.4 Welfare</w:t>
      </w:r>
      <w:bookmarkEnd w:id="71"/>
    </w:p>
    <w:p>
      <w:r>
        <w:t>Welfare refers to the overall well-being and quality of life of individuals, which includes financial security, job satisfaction, and access to essential services like social security benefits. Adams &amp; Schmitt (2016) emphasize that public sector welfare programs should provide financial stability to employees, improving their quality of life, while also fostering job satisfaction. Research by Leach et al. (2019) demonstrates that a secure welfare system promotes employee well-being by reducing financial stress and providing necessary support in times of need. In the context of the PSSSF, welfare focuses on ensuring that public servants have access to retirement benefits, medical insurance, and other forms of social support, thereby improving their financial security and overall life satisfaction. The effectiveness of such programs is critical for maintaining a motivated and productive workforce.</w:t>
      </w:r>
    </w:p>
    <w:p>
      <w:r>
        <w:t>According to Msafiri (2019), access to basic public services such as healthcare, education, and water supply is a major determinant of human development and productivity, which are essential components of welfare. The study emphasizes that improved service delivery in these areas can significantly enhance the welfare of citizens. The Division of Salary Incentive and Benefits at the President's Office Public Service Management and Good Governance also highlights the importance of harmonizing remuneration packages and providing financial and non-financial incentives to improve the welfare of public servants.</w:t>
      </w:r>
    </w:p>
    <w:p>
      <w:pPr>
        <w:pStyle w:val="4"/>
      </w:pPr>
      <w:bookmarkStart w:id="72" w:name="_Toc25031"/>
      <w:r>
        <w:t>2.2.5 Efficiency</w:t>
      </w:r>
      <w:bookmarkEnd w:id="72"/>
    </w:p>
    <w:p>
      <w:r>
        <w:t>Efficiency in the context of public service organizations like the PSSSF refers to the ability to deliver services effectively while minimizing the use of resources, time, and effort. It is commonly measured by indicators such as administrative costs, the speed of service delivery, and overall member satisfaction. Boulding et al. (2010) argue that efficiency is critical in public sector services as it ensures that resources are used optimally to provide maximum benefit to members. Additionally, Liu &amp; Lee (2017) highlight that high efficiency in service delivery leads to greater member satisfaction, as services are provided quickly and without unnecessary delays. For PSSSF, efficiency could be assessed by examining the timeliness of pension payments, the cost-effectiveness of administrative processes, and the satisfaction of members with the ease of accessing their benefits. Research in this area often points to the need for improved administrative procedures to reduce costs and increase the overall effectiveness of public social security systems.</w:t>
      </w:r>
    </w:p>
    <w:p>
      <w:r>
        <w:t>Msacky et al. (2024) examined the influence of financial capability on quality service delivery in social protection funds, including the PSSSF, and found that budget allocation, investment in services, and financial resources significantly influence service delivery efficiency. The study underscores the importance of financial capability in enhancing the quality and efficiency of services provided by social security funds. Pessa (2023) also explored the use of computerized systems in social security funds, finding that digital transformation can improve service delivery efficiency by reducing the need for physical visits and streamlining administrative processes.</w:t>
      </w:r>
    </w:p>
    <w:p>
      <w:pPr>
        <w:pStyle w:val="3"/>
      </w:pPr>
      <w:bookmarkStart w:id="73" w:name="_Toc9150"/>
      <w:r>
        <w:t>2.3 Theoretical Literature Review</w:t>
      </w:r>
      <w:bookmarkEnd w:id="73"/>
    </w:p>
    <w:p>
      <w:pPr>
        <w:pStyle w:val="4"/>
      </w:pPr>
      <w:bookmarkStart w:id="74" w:name="_Toc31670"/>
      <w:r>
        <w:t>2.3.2 Resource-Based View (RBV) Theory</w:t>
      </w:r>
      <w:bookmarkEnd w:id="74"/>
    </w:p>
    <w:p>
      <w:r>
        <w:t xml:space="preserve">The Resource-Based View (RBV) theory, developed by </w:t>
      </w:r>
      <w:r>
        <w:rPr>
          <w:i/>
          <w:iCs/>
        </w:rPr>
        <w:t>Barney (1991)</w:t>
      </w:r>
      <w:r>
        <w:t>, posits that an organization’s resources and capabilities are key to achieving sustainable competitive advantage. This theory emphasizes the importance of leveraging internal resources—both tangible and intangible—such as human capital, organizational knowledge, and financial assets, to differentiate the organization and deliver superior value to its stakeholders. The Resource-Based View (RBV) theory has been widely applied across various sectors to assess how internal resources and capabilities contribute to organizational success and competitive advantage. In the context of public services, such as the merger of social security funds, several studies have explored the role of RBV in improving organizational performance and service delivery.</w:t>
      </w:r>
    </w:p>
    <w:p>
      <w:r>
        <w:t xml:space="preserve">For instance, </w:t>
      </w:r>
      <w:r>
        <w:rPr>
          <w:i/>
          <w:iCs/>
        </w:rPr>
        <w:t>Barney (1991)</w:t>
      </w:r>
      <w:r>
        <w:t xml:space="preserve"> applied RBV to show how leveraging unique resources, like skilled human capital or organizational knowledge, can help companies achieve sustained competitive advantages. </w:t>
      </w:r>
      <w:r>
        <w:rPr>
          <w:i/>
          <w:iCs/>
        </w:rPr>
        <w:t>Teece et al. (1997)</w:t>
      </w:r>
      <w:r>
        <w:t xml:space="preserve"> emphasized that the capabilities of organizations in terms of managing these resources are critical for innovation and adaptation in competitive environments. In public administration, RBV has been used to understand how governments and public agencies can optimize their internal resources to improve service delivery, as seen in </w:t>
      </w:r>
      <w:r>
        <w:rPr>
          <w:i/>
          <w:iCs/>
        </w:rPr>
        <w:t>Pillay et al. (2010)</w:t>
      </w:r>
      <w:r>
        <w:t>, who examined the role of resource management in enhancing public sector performance. In the case of social security funds, the RBV approach could explain how the pooling of financial and human resources can improve fund management and service efficiency.</w:t>
      </w:r>
    </w:p>
    <w:p>
      <w:r>
        <w:t xml:space="preserve">Moreover, </w:t>
      </w:r>
      <w:r>
        <w:rPr>
          <w:i/>
          <w:iCs/>
        </w:rPr>
        <w:t>Jiang et al. (2012)</w:t>
      </w:r>
      <w:r>
        <w:t xml:space="preserve"> applied RBV to analyze the competitive advantages gained by healthcare organizations through the effective use of resources. This aligns with your study’s focus on how the merger of social security funds can lead to better welfare outcomes by optimizing resource use.</w:t>
      </w:r>
    </w:p>
    <w:p>
      <w:r>
        <w:t xml:space="preserve">In the context of the merger of social security funds, RBV can be used to assess how the pooling of resources from multiple funds enhances the welfare of public servants by improving service delivery, increasing efficiency, and ensuring financial security. According to </w:t>
      </w:r>
      <w:r>
        <w:rPr>
          <w:i/>
          <w:iCs/>
        </w:rPr>
        <w:t>Wang &amp; Ahmed (2007)</w:t>
      </w:r>
      <w:r>
        <w:t>, organizations that can effectively utilize their resources are better positioned to create value and respond to external challenges, which in this case, includes meeting the needs of public servants. By combining resources from various funds, the Public Service Social Security Fund (PSSSF) can enhance its capabilities in providing comprehensive social security benefits, improve fund management, and reduce operational costs, ultimately leading to better welfare outcomes for public servants. The RBV framework can also help in understanding how the merger strengthens the PSSSF’s competitive position in delivering high-quality services.</w:t>
      </w:r>
    </w:p>
    <w:p>
      <w:pPr>
        <w:pStyle w:val="4"/>
      </w:pPr>
      <w:bookmarkStart w:id="75" w:name="_Toc30699"/>
      <w:r>
        <w:t>2.3.3 Stakeholder Theory</w:t>
      </w:r>
      <w:bookmarkEnd w:id="75"/>
    </w:p>
    <w:p>
      <w:r>
        <w:t xml:space="preserve">Stakeholder Theory, articulated by </w:t>
      </w:r>
      <w:r>
        <w:rPr>
          <w:i/>
          <w:iCs/>
        </w:rPr>
        <w:t>Freeman (1984)</w:t>
      </w:r>
      <w:r>
        <w:t xml:space="preserve">, emphasizes the importance of considering the interests, needs, and well-being of all stakeholders involved in an organization’s decision-making process. This theory argues that organizations should not only focus on shareholder value but also take into account the broader social and ethical responsibilities to various groups, including employees, customers, and the community. </w:t>
      </w:r>
    </w:p>
    <w:p>
      <w:r>
        <w:t>Stakeholder Theory has been widely used to examine how organizations manage the interests of different stakeholder groups, and it has been particularly influential in the public sector and non-profit organizations. The theory emphasizes the need for organizations to balance the interests of all stakeholders, not just shareholders, for long-term success and sustainability.</w:t>
      </w:r>
    </w:p>
    <w:p>
      <w:r>
        <w:t xml:space="preserve">In public administration, </w:t>
      </w:r>
      <w:r>
        <w:rPr>
          <w:i/>
          <w:iCs/>
        </w:rPr>
        <w:t>Freeman (1984)</w:t>
      </w:r>
      <w:r>
        <w:t xml:space="preserve"> originally outlined how engaging all stakeholders—employees, clients, and the community—leads to better organizational outcomes. In line with this, </w:t>
      </w:r>
      <w:r>
        <w:rPr>
          <w:i/>
          <w:iCs/>
        </w:rPr>
        <w:t>Bryson (2004)</w:t>
      </w:r>
      <w:r>
        <w:t xml:space="preserve"> emphasized the importance of stakeholder engagement in public service delivery. For example, in healthcare systems, </w:t>
      </w:r>
      <w:r>
        <w:rPr>
          <w:i/>
          <w:iCs/>
        </w:rPr>
        <w:t>Mitchell et al. (1997)</w:t>
      </w:r>
      <w:r>
        <w:t xml:space="preserve"> demonstrated how stakeholder theory could be used to understand the needs and concerns of patients, staff, and regulators. Similarly, </w:t>
      </w:r>
      <w:r>
        <w:rPr>
          <w:i/>
          <w:iCs/>
        </w:rPr>
        <w:t>Laplante and Gagnon (2009)</w:t>
      </w:r>
      <w:r>
        <w:t xml:space="preserve"> applied Stakeholder Theory in the analysis of public policies related to social welfare, showing how governments balance the needs of various stakeholder groups when designing social security systems.</w:t>
      </w:r>
    </w:p>
    <w:p>
      <w:r>
        <w:t>In the context of this study on the merger of social security funds, Stakeholder Theory can be used to evaluate how the merger addresses the needs of public servants as key stakeholders in the PSSSF. The theory suggests that organizations must engage with their stakeholders such as government employees, their families, and the broader public to ensure the delivery of benefits that enhance their overall welfare. By considering the perspectives of public servants and other stakeholders, the PSSSF can align its operations with the broader goal of improving employee welfare through the provision of effective and efficient services. The theory also helps in assessing how the merger has altered the dynamics of power, influence, and decision-making within the organization, and how these changes affect the delivery of benefits.</w:t>
      </w:r>
    </w:p>
    <w:p>
      <w:pPr>
        <w:rPr>
          <w:b/>
          <w:bCs/>
        </w:rPr>
      </w:pPr>
      <w:r>
        <w:rPr>
          <w:b/>
          <w:bCs/>
        </w:rPr>
        <w:t>2.3.4 Social Exchange Theory</w:t>
      </w:r>
    </w:p>
    <w:p>
      <w:r>
        <w:t xml:space="preserve">Social Exchange Theory, as proposed by </w:t>
      </w:r>
      <w:r>
        <w:rPr>
          <w:i/>
          <w:iCs/>
        </w:rPr>
        <w:t>Blau (1964)</w:t>
      </w:r>
      <w:r>
        <w:t xml:space="preserve"> and </w:t>
      </w:r>
      <w:r>
        <w:rPr>
          <w:i/>
          <w:iCs/>
        </w:rPr>
        <w:t>Homans (1958)</w:t>
      </w:r>
      <w:r>
        <w:t xml:space="preserve">, suggests that human relationships are based on the exchange of resources that yield benefits to all parties involved. This theory posits that individuals engage in relationships with the expectation of receiving rewards that outweigh the costs of their involvement. </w:t>
      </w:r>
    </w:p>
    <w:p>
      <w:r>
        <w:t xml:space="preserve">Social Exchange Theory has been widely used in both organizational studies and service delivery contexts to explain how relationships between employees, customers, and organizations are shaped by reciprocal exchanges. In public service sectors, Social Exchange Theory has been applied to understand customer behavior, employee engagement, and organizational commitment. For instance, </w:t>
      </w:r>
      <w:r>
        <w:rPr>
          <w:i/>
          <w:iCs/>
        </w:rPr>
        <w:t>Blau (1964)</w:t>
      </w:r>
      <w:r>
        <w:t xml:space="preserve"> argued that individuals are more likely to engage in relationships when they expect to receive tangible or intangible benefits in return. In the context of social security funds, </w:t>
      </w:r>
      <w:r>
        <w:rPr>
          <w:i/>
          <w:iCs/>
        </w:rPr>
        <w:t>Sharma and Patterson (2000)</w:t>
      </w:r>
      <w:r>
        <w:t xml:space="preserve"> explored how the perceived benefits of pension plans, healthcare, and other social security services influence employee engagement and loyalty. Additionally, </w:t>
      </w:r>
      <w:r>
        <w:rPr>
          <w:i/>
          <w:iCs/>
        </w:rPr>
        <w:t>Moorman et al. (1993)</w:t>
      </w:r>
      <w:r>
        <w:t xml:space="preserve"> found that when individuals perceive fair treatment and the delivery of promised benefits, they are more likely to form long-lasting and mutually beneficial relationships with organizations.</w:t>
      </w:r>
    </w:p>
    <w:p>
      <w:r>
        <w:t xml:space="preserve">In the context of the PSSSF, Social Exchange Theory helps explain how customer engagement is fostered between the public servants and the fund. The theory suggests that members of the PSSSF are more likely to engage with the fund when they perceive the benefits, such as financial security, timely pension payments, and access to healthcare, to be greater than the costs, including time, effort, and any perceived inefficiencies. Studies by </w:t>
      </w:r>
      <w:r>
        <w:rPr>
          <w:i/>
          <w:iCs/>
        </w:rPr>
        <w:t>Gustafsson et al. (2005)</w:t>
      </w:r>
      <w:r>
        <w:t xml:space="preserve"> and </w:t>
      </w:r>
      <w:r>
        <w:rPr>
          <w:i/>
          <w:iCs/>
        </w:rPr>
        <w:t>Chathoth et al. (2016)</w:t>
      </w:r>
      <w:r>
        <w:t xml:space="preserve"> support the notion that high levels of customer engagement lead to better service quality and stronger relationships with public institutions. This relationship is further influenced by factors like trust, satisfaction, and service reliability. In the case of the PSSSF, the reciprocal nature of social exchange helps explain why members may actively participate in surveys, decision-making processes, and other engagements with the fund, which ultimately enhances the quality and effectiveness of the services provided.</w:t>
      </w:r>
    </w:p>
    <w:p>
      <w:pPr>
        <w:rPr>
          <w:b/>
          <w:bCs/>
        </w:rPr>
      </w:pPr>
      <w:r>
        <w:rPr>
          <w:b/>
          <w:bCs/>
        </w:rPr>
        <w:t>2.3.5 Efficiency Theory</w:t>
      </w:r>
    </w:p>
    <w:p>
      <w:r>
        <w:t xml:space="preserve">Efficiency Theory, which has its roots in economics, particularly through the work of </w:t>
      </w:r>
      <w:r>
        <w:rPr>
          <w:i/>
          <w:iCs/>
        </w:rPr>
        <w:t>Kaldor (1934)</w:t>
      </w:r>
      <w:r>
        <w:t xml:space="preserve"> and </w:t>
      </w:r>
      <w:r>
        <w:rPr>
          <w:i/>
          <w:iCs/>
        </w:rPr>
        <w:t>Pareto (1906)</w:t>
      </w:r>
      <w:r>
        <w:t>, is concerned with the optimal use of resources to achieve the desired outcome with minimal waste. Efficiency Theory, which focuses on maximizing outputs while minimizing inputs, has been extensively applied in both public sector management and economics to evaluate the optimal use of resources.</w:t>
      </w:r>
    </w:p>
    <w:p>
      <w:r>
        <w:t xml:space="preserve">In the context of public services, </w:t>
      </w:r>
      <w:r>
        <w:rPr>
          <w:i/>
          <w:iCs/>
        </w:rPr>
        <w:t>Kaldor (1934)</w:t>
      </w:r>
      <w:r>
        <w:t xml:space="preserve"> and </w:t>
      </w:r>
      <w:r>
        <w:rPr>
          <w:i/>
          <w:iCs/>
        </w:rPr>
        <w:t>Pareto (1906)</w:t>
      </w:r>
      <w:r>
        <w:t xml:space="preserve"> laid the groundwork for understanding how resource optimization can improve service delivery without excess cost. In healthcare systems, </w:t>
      </w:r>
      <w:r>
        <w:rPr>
          <w:i/>
          <w:iCs/>
        </w:rPr>
        <w:t>Evans (1993)</w:t>
      </w:r>
      <w:r>
        <w:t xml:space="preserve"> demonstrated how efficiency in resource allocation could lead to improved patient outcomes, a concept applicable to the efficient delivery of social security benefits. Similarly, </w:t>
      </w:r>
      <w:r>
        <w:rPr>
          <w:i/>
          <w:iCs/>
        </w:rPr>
        <w:t>Dewulf et al. (2008)</w:t>
      </w:r>
      <w:r>
        <w:t xml:space="preserve"> analyzed how public institutions can improve efficiency by reducing administrative overhead and streamlining service processes.</w:t>
      </w:r>
    </w:p>
    <w:p>
      <w:r>
        <w:t xml:space="preserve">In the realm of public sector social services, </w:t>
      </w:r>
      <w:r>
        <w:rPr>
          <w:i/>
          <w:iCs/>
        </w:rPr>
        <w:t>Talbot (2010)</w:t>
      </w:r>
      <w:r>
        <w:t xml:space="preserve"> applied Efficiency Theory to explore how governments can reduce operational costs while maintaining high service standards. In your study, this framework can be used to assess how the PSSSF’s financial and administrative efficiency improves as a result of the merger of social security funds. Specifically, the theory can help evaluate how cost reductions, faster service delivery, and better resource allocation contribute to the overall welfare of public servants.</w:t>
      </w:r>
    </w:p>
    <w:p>
      <w:r>
        <w:t xml:space="preserve">This theory is highly relevant to the study of public services like the PSSSF, where efficiency is critical for ensuring that resources are used effectively to meet the needs of public servants. Efficiency in the context of the PSSSF can be measured through several indicators, including administrative costs, service delivery speed, and member satisfaction. According to </w:t>
      </w:r>
      <w:r>
        <w:rPr>
          <w:i/>
          <w:iCs/>
        </w:rPr>
        <w:t>Boulding et al. (2010)</w:t>
      </w:r>
      <w:r>
        <w:t xml:space="preserve">, efficiency in service delivery improves member satisfaction because resources are used wisely, and services are provided in a timely and effective manner. The application of Efficiency Theory in the context of the PSSSF can help analyze how the fund has streamlined its operations after the merger, including how well it manages pension payouts, healthcare services, and other social security benefits. The study of efficiency also looks at how the PSSSF can improve its service delivery by adopting technological innovations, such as computerized systems and digital platforms, to reduce operational costs and improve the speed and accuracy of services, as noted by </w:t>
      </w:r>
      <w:r>
        <w:rPr>
          <w:i/>
          <w:iCs/>
        </w:rPr>
        <w:t>Pessa (2023)</w:t>
      </w:r>
      <w:r>
        <w:t>. Overall, the theory highlights the importance of minimizing waste and ensuring that services are delivered in a cost-effective and timely manner to improve the welfare of public servants.</w:t>
      </w:r>
    </w:p>
    <w:p>
      <w:pPr>
        <w:pStyle w:val="3"/>
      </w:pPr>
      <w:bookmarkStart w:id="76" w:name="_Toc7653"/>
      <w:r>
        <w:t>2.4 Empirical Review</w:t>
      </w:r>
      <w:bookmarkEnd w:id="76"/>
    </w:p>
    <w:p>
      <w:pPr>
        <w:pStyle w:val="4"/>
      </w:pPr>
      <w:bookmarkStart w:id="77" w:name="_Toc10074"/>
      <w:r>
        <w:t>2.4.1 Perceptions of Public Servants Regarding PSSSF Welfare Benefits Post-Mergers.</w:t>
      </w:r>
      <w:bookmarkEnd w:id="77"/>
    </w:p>
    <w:p>
      <w:r>
        <w:t>The empirical review of public servants' perceptions of welfare benefits following mergers and acquisitions reveals significant variation across different regions, highlighting the complexity of these perceptions based on local contexts and institutional changes.</w:t>
      </w:r>
    </w:p>
    <w:p>
      <w:r>
        <w:t>Globally, studies indicate that public servants’ views on welfare benefits are influenced by the perceived fairness and transparency of pension schemes post-merger. For instance, in Sweden, public servants showed positive perceptions when welfare provisions were digitalized, perceiving that the automation of services reduced subjective bias in decision-making. However, they expressed concerns regarding the legal security of their benefits (Enqvist, 2024)​</w:t>
      </w:r>
    </w:p>
    <w:p>
      <w:r>
        <w:t>In contrast, U.S. federal employees have expressed dissatisfaction following mergers in pension systems, where the loss of portability and security in benefits emerged as common grievances (Heck et al., 201</w:t>
      </w:r>
      <w:r>
        <w:rPr>
          <w:rFonts w:hint="default"/>
          <w:lang w:val="en-US"/>
        </w:rPr>
        <w:t>8</w:t>
      </w:r>
      <w:r>
        <w:t>)​. This suggests that while technological advancements in welfare systems can increase trust, concerns regarding fairness and transparency persist across different public sector systems globally.</w:t>
      </w:r>
    </w:p>
    <w:p>
      <w:r>
        <w:t>In Europe, perceptions vary significantly between regions. Public servants in Nordic countries such as Sweden and Finland report higher satisfaction with merged welfare systems due to robust social welfare policies and stable pension frameworks. On the other hand, in Eastern European countries like Hungary, public servants often feel more critical of mergers, especially when they perceive that the changes lead to a reduction in their benefits or a lack of service accessibility (Fenger, 20</w:t>
      </w:r>
      <w:r>
        <w:rPr>
          <w:rFonts w:hint="default"/>
          <w:lang w:val="en-US"/>
        </w:rPr>
        <w:t>1</w:t>
      </w:r>
      <w:r>
        <w:t>7)​</w:t>
      </w:r>
    </w:p>
    <w:p>
      <w:r>
        <w:t>These findings emphasize the importance of the overall institutional context and welfare state design in shaping public servant satisfaction with welfare systems after mergers.</w:t>
      </w:r>
    </w:p>
    <w:p>
      <w:r>
        <w:t>In Sub-Saharan Africa (SSA), perceptions are also influenced by the administrative efficiency of merged systems. For example, in Kenya and Nigeria, public servants have expressed concern over the merger of social security funds, citing unclear communication and administrative inefficiencies in integrating various welfare benefits. Research by Goerres and Tepe (20</w:t>
      </w:r>
      <w:r>
        <w:rPr>
          <w:rFonts w:hint="default"/>
          <w:lang w:val="en-US"/>
        </w:rPr>
        <w:t>20</w:t>
      </w:r>
      <w:r>
        <w:t>) suggests that after mergers, public servants in these countries often felt that their equity and trust in the system were compromised due to delays in service delivery and lack of transparency in how benefits were managed​. This points to the critical need for clear communication and efficient implementation in SSA when restructuring social security systems.</w:t>
      </w:r>
    </w:p>
    <w:p>
      <w:r>
        <w:t>In East Africa and Tanzania specifically, public servants have demonstrated mixed perceptions regarding the merger of social security funds. In Tanzania, particularly in Dar es Salaam, some public servants reported feeling a reduction in personal benefits after the merger, particularly in terms of pension schemes, as they struggled with unclear communications about the integration of various benefits. However, there were also positive perceptions regarding the potential for better management and broader coverage of the PSSSF as a result of these mergers (Halvorsen et al., 2016). These findings align with broader regional trends, where the success of a merger is often dependent on clear communication, administrative efficiency, and the perceived fairness of the system.</w:t>
      </w:r>
    </w:p>
    <w:p>
      <w:r>
        <w:t>Overall, the literature suggests that while public servants in various regions may initially perceive mergers as promising, their satisfaction heavily depends on how well the changes are communicated and implemented. Concerns about equity, transparency, and the security of benefits remain central to shaping these perceptions, especially in regions with weaker governance structures or less efficient public service delivery systems.</w:t>
      </w:r>
    </w:p>
    <w:p>
      <w:pPr>
        <w:pStyle w:val="4"/>
      </w:pPr>
      <w:bookmarkStart w:id="78" w:name="_Toc30524"/>
      <w:r>
        <w:t>2.4.2 Changes in Service Delivery and Administrative Efficiency of the PSSSF Following the Mergers and Acquisitions</w:t>
      </w:r>
      <w:bookmarkEnd w:id="78"/>
    </w:p>
    <w:p>
      <w:r>
        <w:t>Global studies consistently reveal both positive and mixed effects of merging social security funds on service delivery and administrative efficiency. In OECD countries, Stewart and Yermo (20</w:t>
      </w:r>
      <w:r>
        <w:rPr>
          <w:rFonts w:hint="default"/>
          <w:lang w:val="en-US"/>
        </w:rPr>
        <w:t>1</w:t>
      </w:r>
      <w:r>
        <w:t>8) highlighted that pension fund mergers resulted in improved financial stability and better management of retirement benefits, though integrating administrative systems and maintaining member satisfaction posed challenges. Kohli et al. (2008) further examined U.S. pension fund mergers and found significant economies of scale, leading to improved service delivery. Public servants reported increased satisfaction with more streamlined processes and quicker access to benefits.</w:t>
      </w:r>
    </w:p>
    <w:p>
      <w:r>
        <w:t>In Europe, Douma and Hein (20</w:t>
      </w:r>
      <w:r>
        <w:rPr>
          <w:rFonts w:hint="default"/>
          <w:lang w:val="en-US"/>
        </w:rPr>
        <w:t>2</w:t>
      </w:r>
      <w:r>
        <w:t>3) explored the Netherlands, finding that merging pension funds led to major cost savings and enhanced fund performance. Public servants in the Netherlands reported greater satisfaction, citing improved communication and more reliable benefit disbursements. Similarly, Barth et al. (2016) conducted research in Japan and discovered that consolidating pension funds improved financial management, reduced administrative costs, and increased satisfaction due to enhanced financial security and timely benefit payments.</w:t>
      </w:r>
    </w:p>
    <w:p>
      <w:r>
        <w:t>In Sub-Saharan Africa, studies on pension fund mergers point to similar improvements. The National Treasury of South Africa (2015) observed that merging pension funds led to better resource allocation, enhancing service delivery. Public servants reported increased satisfaction due to more efficient administrative processes. A study by Manda (2019) in Zimbabwe further emphasized how the merging of pension schemes improved fund management and member benefits. In East Africa, Kenya's National Social Security Fund (2018) found that merging social security schemes would likely result in better service delivery, greater financial sustainability, and more responsive customer service. Public servants expected to benefit from improved welfare provisions and customer care.</w:t>
      </w:r>
    </w:p>
    <w:p>
      <w:r>
        <w:t>In Tanzania, Mgeni (2022) evaluated the impact of social security fund mergers on PSSSF’s growth and survival, finding significant improvements in welfare benefits and service delivery. Public servants reported higher satisfaction levels. In addition, Fulgence and Tarimo (2022) surveyed public servants in Dar es Salaam and found that the merger resulted in better retirement benefits, enhanced financial security, and timely benefit payments, significantly improving overall satisfaction with the service.</w:t>
      </w:r>
    </w:p>
    <w:p>
      <w:r>
        <w:t>Moreover, studies in Latin America also provide relevant insights. For example, a study by Rocha and Silva (201</w:t>
      </w:r>
      <w:r>
        <w:rPr>
          <w:rFonts w:hint="default"/>
          <w:lang w:val="en-US"/>
        </w:rPr>
        <w:t>8</w:t>
      </w:r>
      <w:r>
        <w:t>) in Brazil showed that pension fund mergers enhanced the efficiency of service delivery by reducing operational costs and improving administrative practices, leading to positive perceptions among public servants. Similarly, in Mexico, Garcia and Rodriguez (2017) found that consolidating pension systems increased operational efficiency, leading to better financial management and greater satisfaction among service recipients.</w:t>
      </w:r>
    </w:p>
    <w:p>
      <w:r>
        <w:t>These studies underscore the broad global trend toward improved administrative efficiency and service delivery following pension fund mergers. They highlight both the advantages, such as economies of scale and better financial management, and challenges, including the need for effective integration of systems and maintaining public servant satisfaction throughout the transition.</w:t>
      </w:r>
    </w:p>
    <w:p>
      <w:pPr>
        <w:pStyle w:val="4"/>
      </w:pPr>
      <w:bookmarkStart w:id="79" w:name="_Toc26500"/>
      <w:r>
        <w:t>2.4.3 Factors Influencing the Effectiveness of the PSSSF in Enhancing the Welfare of Public Servants Post-Merger</w:t>
      </w:r>
      <w:bookmarkEnd w:id="79"/>
    </w:p>
    <w:p>
      <w:r>
        <w:t>The effectiveness of the Public Service Social Security Fund (PSSSF) in enhancing the welfare of public servants post-merger is influenced by several key factors, including financial management, administrative processes, and the involvement of stakeholders.</w:t>
      </w:r>
    </w:p>
    <w:p>
      <w:r>
        <w:t>Globally, the integration of social security funds through mergers has shown significant impacts on both financial sustainability and operational efficiency. In Latin America, Brazil’s social security reforms and fund mergers have been studied by Fernandes et al. (201</w:t>
      </w:r>
      <w:r>
        <w:rPr>
          <w:rFonts w:hint="default"/>
          <w:lang w:val="en-US"/>
        </w:rPr>
        <w:t>8</w:t>
      </w:r>
      <w:r>
        <w:t>), who found that integrating pension schemes led to enhanced financial stability and better resource allocation. Public servants reported improved welfare due to increased pension coverage and higher service reliability. Similarly, in Spain, a study by Martinez et al. (2017) demonstrated that merging social security funds improved administrative efficiency, reducing costs and enhancing service delivery. This resulted in higher satisfaction rates among civil servants who experienced more consistent and timely benefit payments.</w:t>
      </w:r>
    </w:p>
    <w:p>
      <w:r>
        <w:t>In Sub-Saharan Africa, the success of mergers in social security schemes is often determined by administrative capacity and the degree of transparency in fund management. A study by Adebayo and Olaniran (2018) in Nigeria showed that effective communication and a well-coordinated administrative system were crucial for the successful delivery of benefits post-merger. Public servants in Nigeria reported higher levels of satisfaction when the integration process was transparent and when their concerns were considered. Similarly, in Ghana, Akoto and Asante (2016) found that clear administrative guidelines, supported by technological advancements, were essential for improving service delivery and reducing inefficiencies in the merged pension system. Public servants noted improvements in both the accessibility of services and the accuracy of pension payouts.</w:t>
      </w:r>
    </w:p>
    <w:p>
      <w:r>
        <w:t>In East Africa, Uganda’s National Social Security Fund (2019) studied the merger of social security schemes and found that a major factor for success was the integration of digital tools to streamline processes. The use of online platforms allowed for better tracking of pension contributions, reduced administrative errors, and provided more timely updates to public servants. In Kenya, the National Social Security Fund (2018) also highlighted that proper planning and a focus on long-term sustainability helped ensure the success of pension fund mergers. Public servants in Kenya were more satisfied with the post-merger benefits, as they experienced smoother processes and quicker access to retirement funds.</w:t>
      </w:r>
    </w:p>
    <w:p>
      <w:r>
        <w:t>In Tanzania, Mgeni (2022) observed that the success of the PSSSF post-merger relied on aligning the operational goals of different schemes and ensuring efficient resource distribution. The study found that when fund mergers were paired with clear policy frameworks and good governance, the welfare of public servants significantly improved. Similarly, Fulgence and Tarimo (2022) noted that engagement with stakeholders, including employees, was critical in shaping the effectiveness of the merged pension system. Public servants reported greater confidence in the system when they were included in decision-making processes and when transparency was prioritized in the distribution of welfare benefits.</w:t>
      </w:r>
    </w:p>
    <w:p>
      <w:r>
        <w:t>These studies collectively demonstrate that the effectiveness of the PSSSF in enhancing the welfare of public servants is influenced by factors such as strong financial management, transparency, technological integration, and stakeholder engagement. Administrative efficiency and effective communication are key to ensuring that the merger process is beneficial for all involved, leading to improved satisfaction and greater financial security for public servants across different regions.</w:t>
      </w:r>
    </w:p>
    <w:p>
      <w:pPr>
        <w:pStyle w:val="3"/>
      </w:pPr>
      <w:bookmarkStart w:id="80" w:name="_Toc18648"/>
      <w:r>
        <w:t>2.5 Critique of The Existing Literature Relevant to the Study</w:t>
      </w:r>
      <w:bookmarkEnd w:id="80"/>
      <w:r>
        <w:t xml:space="preserve"> </w:t>
      </w:r>
    </w:p>
    <w:p>
      <w:r>
        <w:t>The existing literature on mergers and acquisitions (M&amp;A) in the public sector, particularly concerning social security funds, offers valuable insights into the impacts on public servants, but it also presents certain limitations and gaps. One area of focus has been the perceptions of public servants regarding the welfare benefits provided after mergers. Stewart and Yermo (20</w:t>
      </w:r>
      <w:r>
        <w:rPr>
          <w:rFonts w:hint="default"/>
          <w:lang w:val="en-US"/>
        </w:rPr>
        <w:t>1</w:t>
      </w:r>
      <w:r>
        <w:t>8) noted that while mergers in OECD countries improved pension stability, issues such as integration challenges and communication failures often hindered member satisfaction. Similarly, Mgeni (2022) reported that public servants in Tanzania saw improvements in welfare benefits following the merger of social security funds. However, these studies tend to overlook the psychological or emotional impact of these changes, calling for more qualitative research that explores how these alterations affect job satisfaction and overall well-being among public servants.</w:t>
      </w:r>
    </w:p>
    <w:p>
      <w:r>
        <w:t>When examining changes in service delivery and administrative efficiency post-merger, literature indicates a complex picture. Kohli et al. (2008) and Douma and Hein (2013) found that M&amp;As can result in economies of scale and administrative improvements, but they also emphasized that the integration of different bureaucratic systems can initially disrupt service delivery. For instance, in the case of South Africa (National Treasury, 2015), merging pension funds improved resource allocation, but the research did not fully explore the long-term effects on public service efficiency. Although some studies suggest positive outcomes like reduced operational costs, the evidence regarding how these changes impact day-to-day service delivery, especially in developing regions, remains underexplored.</w:t>
      </w:r>
    </w:p>
    <w:p>
      <w:r>
        <w:t>The effectiveness of public service organizations post-merger is influenced by multiple factors, such as governance, financial management, and technological integration. Teece et al. (</w:t>
      </w:r>
      <w:r>
        <w:rPr>
          <w:rFonts w:hint="default"/>
          <w:lang w:val="en-US"/>
        </w:rPr>
        <w:t>2021</w:t>
      </w:r>
      <w:r>
        <w:t>) highlighted the importance of managing internal resources for achieving organizational effectiveness, but many studies fail to account for local challenges, such as infrastructure deficits or limited technological adoption, which can hinder the realization of the benefits of M&amp;As. For example, a study by the National Social Security Fund of Kenya (2018) indicated that the merger of social security schemes was expected to enhance financial sustainability, yet the research did not consider the role of political instability or economic factors on long-term effectiveness. Moreover, studies often neglect how internal organizational elements like employee training or communication influence post-merger success, especially in public organizations in developing countries like Tanzania.</w:t>
      </w:r>
    </w:p>
    <w:p>
      <w:r>
        <w:t>Geographically, there is a clear gap in literature, particularly concerning Tanzania and other East African countries. While much of the existing research comes from developed countries such as the United States, Japan, and South Africa, these studies do not fully capture the unique challenges faced by public sector organizations in East Africa. The socio-political context, public sector governance, and economic conditions in Tanzania may significantly shape how mergers affect public servants' welfare and the overall effectiveness of the PSSSF. Therefore, while existing literature provides a useful foundation for understanding the broad impacts of mergers on social security systems, more localized studies are needed to offer a comprehensive picture of how such mergers impact public service delivery and employee welfare in Tanzania specifically.</w:t>
      </w:r>
    </w:p>
    <w:p>
      <w:r>
        <w:t>In summary, while the existing literature contributes to understanding the outcomes of mergers and acquisitions in the public sector, there are notable gaps, especially concerning localized, in-depth studies in Tanzania. These gaps point to the need for more qualitative and region-specific research, particularly regarding the emotional and psychological impacts on employees, as well as the administrative and service delivery changes specific to the socio-political context of East Africa.</w:t>
      </w:r>
    </w:p>
    <w:p>
      <w:pPr>
        <w:pStyle w:val="3"/>
      </w:pPr>
      <w:bookmarkStart w:id="81" w:name="_Toc22661"/>
      <w:r>
        <w:t>2.6 Conceptual Framework</w:t>
      </w:r>
      <w:bookmarkEnd w:id="81"/>
    </w:p>
    <w:p>
      <w:pPr>
        <w:rPr>
          <w:bCs/>
        </w:rPr>
      </w:pPr>
      <w:r>
        <w:rPr>
          <w:bCs/>
        </w:rPr>
        <w:t>Based on Stakeholder Theory depicts the hypothesized relationships between key variables influencing customer engagement with the PSSSF post-merger:</w:t>
      </w:r>
    </w:p>
    <w:p>
      <w:pPr>
        <w:rPr>
          <w:bCs/>
        </w:rPr>
      </w:pPr>
      <w:r>
        <w:rPr>
          <w:bCs/>
        </w:rPr>
        <w:t>Independent Variables: Communication Strategies: The channels and methods used by the PSSSF to communicate with members and other stakeholders during and after the merger. Perceived Value: Member perceptions of the benefits and services offered by the PSSSF after the merger, including contribution rates, service quality, and efficiency. Government Collaboration: The level of collaboration and support provided by the Tanzanian government to ensure a smooth and transparent M&amp;A process. Employee Engagement: The level of commitment, motivation, and satisfaction displayed by PSSSF employees during and after the merger.</w:t>
      </w:r>
    </w:p>
    <w:p>
      <w:pPr>
        <w:rPr>
          <w:bCs/>
        </w:rPr>
      </w:pPr>
      <w:r>
        <w:rPr>
          <w:bCs/>
        </w:rPr>
        <w:t>Moderating Variable: Trust: Members' level of trust in the PSSSF, which can moderate the relationship between the independent variables and customer engagement.</w:t>
      </w:r>
    </w:p>
    <w:p>
      <w:pPr>
        <w:rPr>
          <w:bCs/>
        </w:rPr>
      </w:pPr>
      <w:r>
        <w:rPr>
          <w:bCs/>
        </w:rPr>
        <w:t>Dependent Variable: Customer Engagement: The level of active participation, loyalty, and trust members display towards the PSSSF after the merger.</w:t>
      </w:r>
    </w:p>
    <w:p>
      <w:pPr>
        <w:rPr>
          <w:bCs/>
        </w:rPr>
      </w:pPr>
      <w:r>
        <w:rPr>
          <w:bCs/>
        </w:rPr>
        <w:t>This model provides a framework for data collection and analysis, allowing the research to investigate how communication, perceived value, government collaboration, and employee engagement influence customer engagement, moderated by trust.</w:t>
      </w:r>
    </w:p>
    <w:p>
      <w:pPr>
        <w:spacing w:before="0"/>
        <w:rPr>
          <w:rFonts w:cs="Times New Roman"/>
          <w:szCs w:val="24"/>
        </w:rPr>
      </w:pPr>
      <w:r>
        <w:rPr>
          <w:rFonts w:cs="Times New Roman"/>
          <w:szCs w:val="24"/>
        </w:rPr>
        <w:t>This conceptual framework depicts the key variables influencing customer engagement with the Public Service Social Security Fund (PSSSF) in Tanzania following the recent merger.</w:t>
      </w:r>
    </w:p>
    <w:p>
      <w:pPr>
        <w:spacing w:before="0"/>
        <w:rPr>
          <w:rFonts w:cs="Times New Roman"/>
          <w:szCs w:val="24"/>
        </w:rPr>
      </w:pPr>
    </w:p>
    <w:p>
      <w:pPr>
        <w:spacing w:before="0"/>
        <w:rPr>
          <w:rFonts w:cs="Times New Roman"/>
          <w:szCs w:val="24"/>
        </w:rPr>
      </w:pPr>
    </w:p>
    <w:p>
      <w:pPr>
        <w:spacing w:before="0"/>
        <w:rPr>
          <w:rFonts w:cs="Times New Roman"/>
          <w:szCs w:val="24"/>
        </w:rPr>
      </w:pPr>
    </w:p>
    <w:p>
      <w:pPr>
        <w:spacing w:before="0"/>
        <w:rPr>
          <w:rFonts w:cs="Times New Roman"/>
          <w:szCs w:val="24"/>
        </w:rPr>
      </w:pPr>
    </w:p>
    <w:p>
      <w:pPr>
        <w:spacing w:before="0"/>
        <w:rPr>
          <w:rFonts w:cs="Times New Roman"/>
          <w:szCs w:val="24"/>
        </w:rPr>
      </w:pPr>
    </w:p>
    <w:p>
      <w:pPr>
        <w:spacing w:before="0"/>
        <w:rPr>
          <w:rFonts w:cs="Times New Roman"/>
          <w:szCs w:val="24"/>
        </w:rPr>
      </w:pPr>
    </w:p>
    <w:p>
      <w:pPr>
        <w:spacing w:before="0"/>
        <w:rPr>
          <w:rFonts w:cs="Times New Roman"/>
          <w:szCs w:val="24"/>
        </w:rPr>
      </w:pPr>
    </w:p>
    <w:p>
      <w:pPr>
        <w:spacing w:before="0"/>
        <w:rPr>
          <w:rFonts w:cs="Times New Roman"/>
          <w:szCs w:val="24"/>
        </w:rPr>
      </w:pPr>
    </w:p>
    <w:p>
      <w:pPr>
        <w:spacing w:before="0"/>
        <w:rPr>
          <w:rFonts w:cs="Times New Roman"/>
          <w:szCs w:val="24"/>
        </w:rPr>
      </w:pPr>
    </w:p>
    <w:p>
      <w:pPr>
        <w:spacing w:before="0"/>
        <w:rPr>
          <w:rFonts w:cs="Times New Roman"/>
          <w:szCs w:val="24"/>
        </w:rPr>
      </w:pPr>
    </w:p>
    <w:p>
      <w:pPr>
        <w:spacing w:before="0"/>
        <w:rPr>
          <w:rFonts w:cs="Times New Roman"/>
          <w:szCs w:val="24"/>
        </w:rPr>
      </w:pPr>
    </w:p>
    <w:p>
      <w:pPr>
        <w:spacing w:before="0"/>
        <w:rPr>
          <w:rFonts w:cs="Times New Roman"/>
          <w:szCs w:val="24"/>
        </w:rPr>
      </w:pPr>
    </w:p>
    <w:p>
      <w:pPr>
        <w:spacing w:before="0"/>
        <w:rPr>
          <w:rFonts w:cs="Times New Roman"/>
          <w:szCs w:val="24"/>
        </w:rPr>
      </w:pPr>
    </w:p>
    <w:p>
      <w:pPr>
        <w:pStyle w:val="5"/>
        <w:rPr>
          <w:rFonts w:ascii="Times New Roman" w:hAnsi="Times New Roman" w:cs="Times New Roman"/>
          <w:b/>
          <w:bCs/>
          <w:i w:val="0"/>
          <w:iCs w:val="0"/>
          <w:color w:val="auto"/>
        </w:rPr>
      </w:pPr>
      <w:bookmarkStart w:id="82" w:name="_Toc13894"/>
      <w:r>
        <w:rPr>
          <w:rFonts w:ascii="Times New Roman" w:hAnsi="Times New Roman" w:cs="Times New Roman"/>
          <w:b/>
          <w:bCs/>
          <w:i w:val="0"/>
          <w:iCs w:val="0"/>
          <w:color w:val="auto"/>
        </w:rPr>
        <w:t>Figure 2.1 Conceptual framework</w:t>
      </w:r>
      <w:bookmarkEnd w:id="82"/>
    </w:p>
    <w:p>
      <w:pPr>
        <w:spacing w:before="0" w:after="200" w:line="480" w:lineRule="auto"/>
        <w:rPr>
          <w:rFonts w:cs="Times New Roman"/>
          <w:b/>
          <w:bCs/>
          <w:szCs w:val="24"/>
        </w:rPr>
      </w:pPr>
      <w:r>
        <w:rPr>
          <w:sz w:val="22"/>
        </w:rPr>
        <mc:AlternateContent>
          <mc:Choice Requires="wps">
            <w:drawing>
              <wp:anchor distT="0" distB="0" distL="0" distR="0" simplePos="0" relativeHeight="251659264" behindDoc="0" locked="0" layoutInCell="1" allowOverlap="1">
                <wp:simplePos x="0" y="0"/>
                <wp:positionH relativeFrom="column">
                  <wp:posOffset>481330</wp:posOffset>
                </wp:positionH>
                <wp:positionV relativeFrom="paragraph">
                  <wp:posOffset>247650</wp:posOffset>
                </wp:positionV>
                <wp:extent cx="276225" cy="589915"/>
                <wp:effectExtent l="15240" t="6350" r="32385" b="13334"/>
                <wp:wrapNone/>
                <wp:docPr id="1027" name="Down Arrow 18"/>
                <wp:cNvGraphicFramePr/>
                <a:graphic xmlns:a="http://schemas.openxmlformats.org/drawingml/2006/main">
                  <a:graphicData uri="http://schemas.microsoft.com/office/word/2010/wordprocessingShape">
                    <wps:wsp>
                      <wps:cNvSpPr/>
                      <wps:spPr>
                        <a:xfrm>
                          <a:off x="0" y="0"/>
                          <a:ext cx="276225" cy="589915"/>
                        </a:xfrm>
                        <a:prstGeom prst="downArrow">
                          <a:avLst/>
                        </a:prstGeom>
                        <a:solidFill>
                          <a:srgbClr val="4472C4"/>
                        </a:solidFill>
                        <a:ln w="12700" cap="flat" cmpd="sng">
                          <a:solidFill>
                            <a:srgbClr val="2F5496"/>
                          </a:solidFill>
                          <a:prstDash val="solid"/>
                          <a:miter/>
                        </a:ln>
                      </wps:spPr>
                      <wps:txbx>
                        <w:txbxContent>
                          <w:p>
                            <w:pPr>
                              <w:jc w:val="center"/>
                            </w:pPr>
                          </w:p>
                        </w:txbxContent>
                      </wps:txbx>
                      <wps:bodyPr/>
                    </wps:wsp>
                  </a:graphicData>
                </a:graphic>
              </wp:anchor>
            </w:drawing>
          </mc:Choice>
          <mc:Fallback>
            <w:pict>
              <v:shape id="Down Arrow 18" o:spid="_x0000_s1026" o:spt="67" type="#_x0000_t67" style="position:absolute;left:0pt;margin-left:37.9pt;margin-top:19.5pt;height:46.45pt;width:21.75pt;z-index:251659264;mso-width-relative:page;mso-height-relative:page;" fillcolor="#4472C4" filled="t" stroked="t" coordsize="21600,21600" o:gfxdata="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erEpcdgAAAAJAQAADwAAAAAA&#10;AAABACAAAAAiAAAAZHJzL2Rvd25yZXYueG1sUEsBAhQAFAAAAAgAh07iQPS/XcLaAQAA1gMAAA4A&#10;AAAAAAAAAQAgAAAAJwEAAGRycy9lMm9Eb2MueG1sUEsFBgAAAAAGAAYAWQEAAHMFAAAAAA==&#10;" adj="16543,5400">
                <v:fill on="t" focussize="0,0"/>
                <v:stroke weight="1pt" color="#2F5496" joinstyle="miter"/>
                <v:imagedata o:title=""/>
                <o:lock v:ext="edit" aspectratio="f"/>
                <v:textbox>
                  <w:txbxContent>
                    <w:p>
                      <w:pPr>
                        <w:jc w:val="center"/>
                      </w:pPr>
                    </w:p>
                  </w:txbxContent>
                </v:textbox>
              </v:shape>
            </w:pict>
          </mc:Fallback>
        </mc:AlternateContent>
      </w:r>
      <w:r>
        <w:rPr>
          <w:sz w:val="22"/>
        </w:rPr>
        <mc:AlternateContent>
          <mc:Choice Requires="wps">
            <w:drawing>
              <wp:anchor distT="0" distB="0" distL="0" distR="0" simplePos="0" relativeHeight="251659264" behindDoc="0" locked="0" layoutInCell="1" allowOverlap="1">
                <wp:simplePos x="0" y="0"/>
                <wp:positionH relativeFrom="column">
                  <wp:posOffset>4138930</wp:posOffset>
                </wp:positionH>
                <wp:positionV relativeFrom="paragraph">
                  <wp:posOffset>276225</wp:posOffset>
                </wp:positionV>
                <wp:extent cx="276225" cy="589915"/>
                <wp:effectExtent l="15240" t="6350" r="32385" b="13334"/>
                <wp:wrapNone/>
                <wp:docPr id="1028" name="Down Arrow 17"/>
                <wp:cNvGraphicFramePr/>
                <a:graphic xmlns:a="http://schemas.openxmlformats.org/drawingml/2006/main">
                  <a:graphicData uri="http://schemas.microsoft.com/office/word/2010/wordprocessingShape">
                    <wps:wsp>
                      <wps:cNvSpPr/>
                      <wps:spPr>
                        <a:xfrm>
                          <a:off x="0" y="0"/>
                          <a:ext cx="276225" cy="589915"/>
                        </a:xfrm>
                        <a:prstGeom prst="downArrow">
                          <a:avLst/>
                        </a:prstGeom>
                        <a:solidFill>
                          <a:srgbClr val="4472C4"/>
                        </a:solidFill>
                        <a:ln w="12700" cap="flat" cmpd="sng">
                          <a:solidFill>
                            <a:srgbClr val="2F5496"/>
                          </a:solidFill>
                          <a:prstDash val="solid"/>
                          <a:miter/>
                        </a:ln>
                      </wps:spPr>
                      <wps:txbx>
                        <w:txbxContent>
                          <w:p>
                            <w:pPr>
                              <w:jc w:val="center"/>
                            </w:pPr>
                          </w:p>
                        </w:txbxContent>
                      </wps:txbx>
                      <wps:bodyPr/>
                    </wps:wsp>
                  </a:graphicData>
                </a:graphic>
              </wp:anchor>
            </w:drawing>
          </mc:Choice>
          <mc:Fallback>
            <w:pict>
              <v:shape id="Down Arrow 17" o:spid="_x0000_s1026" o:spt="67" type="#_x0000_t67" style="position:absolute;left:0pt;margin-left:325.9pt;margin-top:21.75pt;height:46.45pt;width:21.75pt;z-index:251659264;mso-width-relative:page;mso-height-relative:page;" fillcolor="#4472C4" filled="t" stroked="t" coordsize="21600,21600" o:gfxdata="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AOh+gTZAAAACgEAAA8AAAAA&#10;AAAAAQAgAAAAIgAAAGRycy9kb3ducmV2LnhtbFBLAQIUABQAAAAIAIdO4kC8r7tW2gEAANYDAAAO&#10;AAAAAAAAAAEAIAAAACgBAABkcnMvZTJvRG9jLnhtbFBLBQYAAAAABgAGAFkBAAB0BQAAAAA=&#10;" adj="16543,5400">
                <v:fill on="t" focussize="0,0"/>
                <v:stroke weight="1pt" color="#2F5496" joinstyle="miter"/>
                <v:imagedata o:title=""/>
                <o:lock v:ext="edit" aspectratio="f"/>
                <v:textbox>
                  <w:txbxContent>
                    <w:p>
                      <w:pPr>
                        <w:jc w:val="center"/>
                      </w:pPr>
                    </w:p>
                  </w:txbxContent>
                </v:textbox>
              </v:shape>
            </w:pict>
          </mc:Fallback>
        </mc:AlternateContent>
      </w:r>
      <w:r>
        <w:rPr>
          <w:rFonts w:cs="Times New Roman"/>
          <w:b/>
          <w:bCs/>
          <w:szCs w:val="24"/>
        </w:rPr>
        <w:t>Independent variables</w:t>
      </w:r>
      <w:r>
        <w:rPr>
          <w:rFonts w:cs="Times New Roman"/>
          <w:b/>
          <w:bCs/>
          <w:szCs w:val="24"/>
        </w:rPr>
        <w:tab/>
      </w:r>
      <w:r>
        <w:rPr>
          <w:rFonts w:cs="Times New Roman"/>
          <w:b/>
          <w:bCs/>
          <w:szCs w:val="24"/>
        </w:rPr>
        <w:tab/>
      </w:r>
      <w:r>
        <w:rPr>
          <w:rFonts w:cs="Times New Roman"/>
          <w:b/>
          <w:bCs/>
          <w:szCs w:val="24"/>
        </w:rPr>
        <w:tab/>
      </w:r>
      <w:r>
        <w:rPr>
          <w:rFonts w:cs="Times New Roman"/>
          <w:b/>
          <w:bCs/>
          <w:szCs w:val="24"/>
        </w:rPr>
        <w:tab/>
      </w:r>
      <w:r>
        <w:rPr>
          <w:rFonts w:cs="Times New Roman"/>
          <w:b/>
          <w:bCs/>
          <w:szCs w:val="24"/>
        </w:rPr>
        <w:tab/>
      </w:r>
      <w:r>
        <w:rPr>
          <w:rFonts w:cs="Times New Roman"/>
          <w:b/>
          <w:bCs/>
          <w:szCs w:val="24"/>
        </w:rPr>
        <w:t xml:space="preserve">  Dependent variable</w:t>
      </w:r>
    </w:p>
    <w:p>
      <w:pPr>
        <w:spacing w:before="0" w:after="200" w:line="480" w:lineRule="auto"/>
        <w:rPr>
          <w:rFonts w:cs="Times New Roman"/>
          <w:b/>
          <w:bCs/>
          <w:szCs w:val="24"/>
        </w:rPr>
      </w:pPr>
    </w:p>
    <w:p>
      <w:pPr>
        <w:spacing w:before="0" w:after="200" w:line="276" w:lineRule="auto"/>
        <w:jc w:val="left"/>
        <w:rPr>
          <w:rFonts w:ascii="Calibri" w:hAnsi="Calibri" w:cs="Times New Roman"/>
          <w:sz w:val="22"/>
          <w:highlight w:val="yellow"/>
        </w:rPr>
      </w:pPr>
      <w:r>
        <w:rPr>
          <w:rFonts w:ascii="Calibri" w:hAnsi="Calibri" w:cs="Times New Roman"/>
          <w:sz w:val="22"/>
          <w:highlight w:val="yellow"/>
        </w:rPr>
        <mc:AlternateContent>
          <mc:Choice Requires="wps">
            <w:drawing>
              <wp:anchor distT="0" distB="0" distL="0" distR="0" simplePos="0" relativeHeight="251659264" behindDoc="0" locked="0" layoutInCell="1" allowOverlap="1">
                <wp:simplePos x="0" y="0"/>
                <wp:positionH relativeFrom="column">
                  <wp:posOffset>3458210</wp:posOffset>
                </wp:positionH>
                <wp:positionV relativeFrom="paragraph">
                  <wp:posOffset>114300</wp:posOffset>
                </wp:positionV>
                <wp:extent cx="1746250" cy="2393315"/>
                <wp:effectExtent l="57150" t="38100" r="82550" b="102869"/>
                <wp:wrapNone/>
                <wp:docPr id="1029" name="Rounded Rectangle 12"/>
                <wp:cNvGraphicFramePr/>
                <a:graphic xmlns:a="http://schemas.openxmlformats.org/drawingml/2006/main">
                  <a:graphicData uri="http://schemas.microsoft.com/office/word/2010/wordprocessingShape">
                    <wps:wsp>
                      <wps:cNvSpPr/>
                      <wps:spPr>
                        <a:xfrm>
                          <a:off x="0" y="0"/>
                          <a:ext cx="1746250" cy="2393315"/>
                        </a:xfrm>
                        <a:prstGeom prst="roundRect">
                          <a:avLst/>
                        </a:prstGeom>
                        <a:gradFill flip="none" rotWithShape="1">
                          <a:gsLst>
                            <a:gs pos="0">
                              <a:srgbClr val="9BE9FF"/>
                            </a:gs>
                            <a:gs pos="35000">
                              <a:srgbClr val="B9F0FF"/>
                            </a:gs>
                            <a:gs pos="100000">
                              <a:srgbClr val="E2FBFF"/>
                            </a:gs>
                          </a:gsLst>
                          <a:lin ang="16200000" scaled="1"/>
                        </a:gradFill>
                        <a:ln w="9525" cap="flat" cmpd="sng">
                          <a:solidFill>
                            <a:srgbClr val="45A9C4"/>
                          </a:solidFill>
                          <a:prstDash val="solid"/>
                          <a:round/>
                        </a:ln>
                        <a:effectLst>
                          <a:outerShdw blurRad="40000" dist="12700" dir="5400000" rotWithShape="0">
                            <a:srgbClr val="000000">
                              <a:alpha val="38000"/>
                            </a:srgbClr>
                          </a:outerShdw>
                        </a:effectLst>
                      </wps:spPr>
                      <wps:txbx>
                        <w:txbxContent>
                          <w:p>
                            <w:pPr>
                              <w:jc w:val="center"/>
                              <w:rPr>
                                <w:rFonts w:cs="Times New Roman"/>
                                <w:b/>
                                <w:bCs/>
                                <w:color w:val="000000"/>
                                <w:sz w:val="20"/>
                                <w:szCs w:val="20"/>
                              </w:rPr>
                            </w:pPr>
                            <w:r>
                              <w:rPr>
                                <w:rFonts w:cs="Times New Roman"/>
                                <w:b/>
                                <w:bCs/>
                                <w:color w:val="000000"/>
                                <w:sz w:val="20"/>
                                <w:szCs w:val="20"/>
                              </w:rPr>
                              <w:t>Customer engagement</w:t>
                            </w:r>
                          </w:p>
                          <w:p>
                            <w:pPr>
                              <w:pStyle w:val="38"/>
                              <w:numPr>
                                <w:ilvl w:val="0"/>
                                <w:numId w:val="3"/>
                              </w:numPr>
                              <w:spacing w:before="0" w:after="200" w:line="276" w:lineRule="auto"/>
                            </w:pPr>
                            <w:r>
                              <w:rPr>
                                <w:rFonts w:cs="Times New Roman"/>
                                <w:sz w:val="20"/>
                                <w:szCs w:val="20"/>
                              </w:rPr>
                              <w:t>High engagement</w:t>
                            </w:r>
                          </w:p>
                          <w:p>
                            <w:pPr>
                              <w:pStyle w:val="38"/>
                              <w:numPr>
                                <w:ilvl w:val="0"/>
                                <w:numId w:val="3"/>
                              </w:numPr>
                              <w:spacing w:before="0" w:after="200" w:line="276" w:lineRule="auto"/>
                            </w:pPr>
                            <w:r>
                              <w:rPr>
                                <w:rFonts w:cs="Times New Roman"/>
                                <w:sz w:val="20"/>
                                <w:szCs w:val="20"/>
                              </w:rPr>
                              <w:t>Low Engagement</w:t>
                            </w:r>
                          </w:p>
                          <w:p>
                            <w:pPr>
                              <w:pStyle w:val="38"/>
                              <w:numPr>
                                <w:ilvl w:val="0"/>
                                <w:numId w:val="3"/>
                              </w:numPr>
                              <w:spacing w:before="0" w:after="200" w:line="276" w:lineRule="auto"/>
                            </w:pPr>
                            <w:r>
                              <w:rPr>
                                <w:rFonts w:cs="Times New Roman"/>
                                <w:sz w:val="20"/>
                                <w:szCs w:val="20"/>
                              </w:rPr>
                              <w:t>Medium Engagement</w:t>
                            </w:r>
                          </w:p>
                        </w:txbxContent>
                      </wps:txbx>
                      <wps:bodyPr vert="horz" wrap="square" lIns="91440" tIns="45720" rIns="91440" bIns="45720" anchor="ctr">
                        <a:noAutofit/>
                      </wps:bodyPr>
                    </wps:wsp>
                  </a:graphicData>
                </a:graphic>
              </wp:anchor>
            </w:drawing>
          </mc:Choice>
          <mc:Fallback>
            <w:pict>
              <v:roundrect id="Rounded Rectangle 12" o:spid="_x0000_s1026" o:spt="2" style="position:absolute;left:0pt;margin-left:272.3pt;margin-top:9pt;height:188.45pt;width:137.5pt;z-index:251659264;v-text-anchor:middle;mso-width-relative:page;mso-height-relative:page;" fillcolor="#9BE9FF" filled="t" stroked="t" coordsize="21600,21600" arcsize="0.166666666666667" o:gfxdata="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">
                <v:fill type="gradient" on="t" color2="#E2FBFF" colors="0f #9BE9FF;22938f #B9F0FF;65536f #E2FBFF" angle="180" focus="100%" focussize="0,0" rotate="t"/>
                <v:stroke color="#45A9C4" joinstyle="round"/>
                <v:imagedata o:title=""/>
                <o:lock v:ext="edit" aspectratio="f"/>
                <v:shadow on="t" color="#000000" opacity="24903f" offset="0pt,1pt" origin="0f,32768f" matrix="65536f,0f,0f,65536f"/>
                <v:textbox>
                  <w:txbxContent>
                    <w:p>
                      <w:pPr>
                        <w:jc w:val="center"/>
                        <w:rPr>
                          <w:rFonts w:cs="Times New Roman"/>
                          <w:b/>
                          <w:bCs/>
                          <w:color w:val="000000"/>
                          <w:sz w:val="20"/>
                          <w:szCs w:val="20"/>
                        </w:rPr>
                      </w:pPr>
                      <w:r>
                        <w:rPr>
                          <w:rFonts w:cs="Times New Roman"/>
                          <w:b/>
                          <w:bCs/>
                          <w:color w:val="000000"/>
                          <w:sz w:val="20"/>
                          <w:szCs w:val="20"/>
                        </w:rPr>
                        <w:t>Customer engagement</w:t>
                      </w:r>
                    </w:p>
                    <w:p>
                      <w:pPr>
                        <w:pStyle w:val="38"/>
                        <w:numPr>
                          <w:ilvl w:val="0"/>
                          <w:numId w:val="3"/>
                        </w:numPr>
                        <w:spacing w:before="0" w:after="200" w:line="276" w:lineRule="auto"/>
                      </w:pPr>
                      <w:r>
                        <w:rPr>
                          <w:rFonts w:cs="Times New Roman"/>
                          <w:sz w:val="20"/>
                          <w:szCs w:val="20"/>
                        </w:rPr>
                        <w:t>High engagement</w:t>
                      </w:r>
                    </w:p>
                    <w:p>
                      <w:pPr>
                        <w:pStyle w:val="38"/>
                        <w:numPr>
                          <w:ilvl w:val="0"/>
                          <w:numId w:val="3"/>
                        </w:numPr>
                        <w:spacing w:before="0" w:after="200" w:line="276" w:lineRule="auto"/>
                      </w:pPr>
                      <w:r>
                        <w:rPr>
                          <w:rFonts w:cs="Times New Roman"/>
                          <w:sz w:val="20"/>
                          <w:szCs w:val="20"/>
                        </w:rPr>
                        <w:t>Low Engagement</w:t>
                      </w:r>
                    </w:p>
                    <w:p>
                      <w:pPr>
                        <w:pStyle w:val="38"/>
                        <w:numPr>
                          <w:ilvl w:val="0"/>
                          <w:numId w:val="3"/>
                        </w:numPr>
                        <w:spacing w:before="0" w:after="200" w:line="276" w:lineRule="auto"/>
                      </w:pPr>
                      <w:r>
                        <w:rPr>
                          <w:rFonts w:cs="Times New Roman"/>
                          <w:sz w:val="20"/>
                          <w:szCs w:val="20"/>
                        </w:rPr>
                        <w:t>Medium Engagement</w:t>
                      </w:r>
                    </w:p>
                  </w:txbxContent>
                </v:textbox>
              </v:roundrect>
            </w:pict>
          </mc:Fallback>
        </mc:AlternateContent>
      </w:r>
      <w:r>
        <w:rPr>
          <w:rFonts w:ascii="Calibri" w:hAnsi="Calibri" w:cs="Times New Roman"/>
          <w:sz w:val="22"/>
          <w:highlight w:val="yellow"/>
        </w:rPr>
        <mc:AlternateContent>
          <mc:Choice Requires="wps">
            <w:drawing>
              <wp:anchor distT="0" distB="0" distL="0" distR="0" simplePos="0" relativeHeight="251659264" behindDoc="0" locked="0" layoutInCell="1" allowOverlap="1">
                <wp:simplePos x="0" y="0"/>
                <wp:positionH relativeFrom="column">
                  <wp:posOffset>-100330</wp:posOffset>
                </wp:positionH>
                <wp:positionV relativeFrom="paragraph">
                  <wp:posOffset>48260</wp:posOffset>
                </wp:positionV>
                <wp:extent cx="1880235" cy="1073150"/>
                <wp:effectExtent l="38735" t="18415" r="43180" b="70485"/>
                <wp:wrapNone/>
                <wp:docPr id="1030" name="Rounded Rectangle 8"/>
                <wp:cNvGraphicFramePr/>
                <a:graphic xmlns:a="http://schemas.openxmlformats.org/drawingml/2006/main">
                  <a:graphicData uri="http://schemas.microsoft.com/office/word/2010/wordprocessingShape">
                    <wps:wsp>
                      <wps:cNvSpPr/>
                      <wps:spPr>
                        <a:xfrm>
                          <a:off x="0" y="0"/>
                          <a:ext cx="1880235" cy="1073150"/>
                        </a:xfrm>
                        <a:prstGeom prst="roundRect">
                          <a:avLst/>
                        </a:prstGeom>
                        <a:gradFill flip="none" rotWithShape="1">
                          <a:gsLst>
                            <a:gs pos="0">
                              <a:srgbClr val="9BE9FF"/>
                            </a:gs>
                            <a:gs pos="35000">
                              <a:srgbClr val="B9F0FF"/>
                            </a:gs>
                            <a:gs pos="100000">
                              <a:srgbClr val="E2FBFF"/>
                            </a:gs>
                          </a:gsLst>
                          <a:lin ang="16200000" scaled="1"/>
                        </a:gradFill>
                        <a:ln w="9525" cap="flat" cmpd="sng">
                          <a:solidFill>
                            <a:srgbClr val="45A9C4"/>
                          </a:solidFill>
                          <a:prstDash val="solid"/>
                          <a:round/>
                        </a:ln>
                        <a:effectLst>
                          <a:outerShdw blurRad="40000" dist="12700" dir="5400000" rotWithShape="0">
                            <a:srgbClr val="000000">
                              <a:alpha val="38000"/>
                            </a:srgbClr>
                          </a:outerShdw>
                        </a:effectLst>
                      </wps:spPr>
                      <wps:txbx>
                        <w:txbxContent>
                          <w:p>
                            <w:pPr>
                              <w:spacing w:after="200" w:line="276" w:lineRule="auto"/>
                              <w:rPr>
                                <w:rFonts w:cs="Times New Roman"/>
                                <w:b/>
                                <w:sz w:val="20"/>
                                <w:szCs w:val="20"/>
                              </w:rPr>
                            </w:pPr>
                            <w:r>
                              <w:rPr>
                                <w:rFonts w:cs="Times New Roman"/>
                                <w:b/>
                                <w:sz w:val="20"/>
                                <w:szCs w:val="20"/>
                              </w:rPr>
                              <w:t>Awareness</w:t>
                            </w:r>
                          </w:p>
                          <w:p>
                            <w:pPr>
                              <w:pStyle w:val="38"/>
                              <w:numPr>
                                <w:ilvl w:val="0"/>
                                <w:numId w:val="4"/>
                              </w:numPr>
                              <w:spacing w:before="0" w:after="200" w:line="276" w:lineRule="auto"/>
                              <w:jc w:val="left"/>
                              <w:rPr>
                                <w:rFonts w:cs="Times New Roman"/>
                                <w:sz w:val="20"/>
                                <w:szCs w:val="20"/>
                              </w:rPr>
                            </w:pPr>
                            <w:r>
                              <w:rPr>
                                <w:rFonts w:cs="Times New Roman"/>
                                <w:sz w:val="20"/>
                                <w:szCs w:val="20"/>
                              </w:rPr>
                              <w:t>Seminars</w:t>
                            </w:r>
                          </w:p>
                          <w:p>
                            <w:pPr>
                              <w:pStyle w:val="38"/>
                              <w:numPr>
                                <w:ilvl w:val="0"/>
                                <w:numId w:val="4"/>
                              </w:numPr>
                              <w:spacing w:before="0" w:after="200" w:line="276" w:lineRule="auto"/>
                              <w:jc w:val="left"/>
                              <w:rPr>
                                <w:rFonts w:cs="Times New Roman"/>
                                <w:sz w:val="20"/>
                                <w:szCs w:val="20"/>
                              </w:rPr>
                            </w:pPr>
                            <w:r>
                              <w:rPr>
                                <w:rFonts w:cs="Times New Roman"/>
                                <w:sz w:val="20"/>
                                <w:szCs w:val="20"/>
                              </w:rPr>
                              <w:t>Knowledge</w:t>
                            </w:r>
                          </w:p>
                          <w:p>
                            <w:pPr>
                              <w:pStyle w:val="38"/>
                              <w:numPr>
                                <w:ilvl w:val="0"/>
                                <w:numId w:val="4"/>
                              </w:numPr>
                              <w:spacing w:before="0" w:after="200" w:line="276" w:lineRule="auto"/>
                              <w:jc w:val="left"/>
                              <w:rPr>
                                <w:rFonts w:cs="Times New Roman"/>
                                <w:sz w:val="20"/>
                                <w:szCs w:val="20"/>
                              </w:rPr>
                            </w:pPr>
                            <w:r>
                              <w:rPr>
                                <w:rFonts w:cs="Times New Roman"/>
                                <w:sz w:val="20"/>
                                <w:szCs w:val="20"/>
                              </w:rPr>
                              <w:t>Training</w:t>
                            </w:r>
                          </w:p>
                        </w:txbxContent>
                      </wps:txbx>
                      <wps:bodyPr vert="horz" wrap="square" lIns="91440" tIns="45720" rIns="91440" bIns="45720" anchor="ctr">
                        <a:noAutofit/>
                      </wps:bodyPr>
                    </wps:wsp>
                  </a:graphicData>
                </a:graphic>
              </wp:anchor>
            </w:drawing>
          </mc:Choice>
          <mc:Fallback>
            <w:pict>
              <v:roundrect id="Rounded Rectangle 8" o:spid="_x0000_s1026" o:spt="2" style="position:absolute;left:0pt;margin-left:-7.9pt;margin-top:3.8pt;height:84.5pt;width:148.05pt;z-index:251659264;v-text-anchor:middle;mso-width-relative:page;mso-height-relative:page;" fillcolor="#9BE9FF" filled="t" stroked="t" coordsize="21600,21600" arcsize="0.166666666666667" o:gfxdata="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">
                <v:fill type="gradient" on="t" color2="#E2FBFF" colors="0f #9BE9FF;22938f #B9F0FF;65536f #E2FBFF" angle="180" focus="100%" focussize="0,0" rotate="t"/>
                <v:stroke color="#45A9C4" joinstyle="round"/>
                <v:imagedata o:title=""/>
                <o:lock v:ext="edit" aspectratio="f"/>
                <v:shadow on="t" color="#000000" opacity="24903f" offset="0pt,1pt" origin="0f,32768f" matrix="65536f,0f,0f,65536f"/>
                <v:textbox>
                  <w:txbxContent>
                    <w:p>
                      <w:pPr>
                        <w:spacing w:after="200" w:line="276" w:lineRule="auto"/>
                        <w:rPr>
                          <w:rFonts w:cs="Times New Roman"/>
                          <w:b/>
                          <w:sz w:val="20"/>
                          <w:szCs w:val="20"/>
                        </w:rPr>
                      </w:pPr>
                      <w:r>
                        <w:rPr>
                          <w:rFonts w:cs="Times New Roman"/>
                          <w:b/>
                          <w:sz w:val="20"/>
                          <w:szCs w:val="20"/>
                        </w:rPr>
                        <w:t>Awareness</w:t>
                      </w:r>
                    </w:p>
                    <w:p>
                      <w:pPr>
                        <w:pStyle w:val="38"/>
                        <w:numPr>
                          <w:ilvl w:val="0"/>
                          <w:numId w:val="4"/>
                        </w:numPr>
                        <w:spacing w:before="0" w:after="200" w:line="276" w:lineRule="auto"/>
                        <w:jc w:val="left"/>
                        <w:rPr>
                          <w:rFonts w:cs="Times New Roman"/>
                          <w:sz w:val="20"/>
                          <w:szCs w:val="20"/>
                        </w:rPr>
                      </w:pPr>
                      <w:r>
                        <w:rPr>
                          <w:rFonts w:cs="Times New Roman"/>
                          <w:sz w:val="20"/>
                          <w:szCs w:val="20"/>
                        </w:rPr>
                        <w:t>Seminars</w:t>
                      </w:r>
                    </w:p>
                    <w:p>
                      <w:pPr>
                        <w:pStyle w:val="38"/>
                        <w:numPr>
                          <w:ilvl w:val="0"/>
                          <w:numId w:val="4"/>
                        </w:numPr>
                        <w:spacing w:before="0" w:after="200" w:line="276" w:lineRule="auto"/>
                        <w:jc w:val="left"/>
                        <w:rPr>
                          <w:rFonts w:cs="Times New Roman"/>
                          <w:sz w:val="20"/>
                          <w:szCs w:val="20"/>
                        </w:rPr>
                      </w:pPr>
                      <w:r>
                        <w:rPr>
                          <w:rFonts w:cs="Times New Roman"/>
                          <w:sz w:val="20"/>
                          <w:szCs w:val="20"/>
                        </w:rPr>
                        <w:t>Knowledge</w:t>
                      </w:r>
                    </w:p>
                    <w:p>
                      <w:pPr>
                        <w:pStyle w:val="38"/>
                        <w:numPr>
                          <w:ilvl w:val="0"/>
                          <w:numId w:val="4"/>
                        </w:numPr>
                        <w:spacing w:before="0" w:after="200" w:line="276" w:lineRule="auto"/>
                        <w:jc w:val="left"/>
                        <w:rPr>
                          <w:rFonts w:cs="Times New Roman"/>
                          <w:sz w:val="20"/>
                          <w:szCs w:val="20"/>
                        </w:rPr>
                      </w:pPr>
                      <w:r>
                        <w:rPr>
                          <w:rFonts w:cs="Times New Roman"/>
                          <w:sz w:val="20"/>
                          <w:szCs w:val="20"/>
                        </w:rPr>
                        <w:t>Training</w:t>
                      </w:r>
                    </w:p>
                  </w:txbxContent>
                </v:textbox>
              </v:roundrect>
            </w:pict>
          </mc:Fallback>
        </mc:AlternateContent>
      </w:r>
    </w:p>
    <w:p>
      <w:pPr>
        <w:spacing w:before="0" w:after="200" w:line="276" w:lineRule="auto"/>
        <w:jc w:val="left"/>
        <w:rPr>
          <w:rFonts w:ascii="Calibri" w:hAnsi="Calibri" w:cs="Times New Roman"/>
          <w:sz w:val="22"/>
          <w:highlight w:val="yellow"/>
        </w:rPr>
      </w:pPr>
      <w:r>
        <w:rPr>
          <w:rFonts w:ascii="Calibri" w:hAnsi="Calibri" w:cs="Times New Roman"/>
          <w:sz w:val="22"/>
        </w:rPr>
        <mc:AlternateContent>
          <mc:Choice Requires="wps">
            <w:drawing>
              <wp:anchor distT="0" distB="0" distL="0" distR="0" simplePos="0" relativeHeight="251659264" behindDoc="0" locked="0" layoutInCell="1" allowOverlap="1">
                <wp:simplePos x="0" y="0"/>
                <wp:positionH relativeFrom="column">
                  <wp:posOffset>2793365</wp:posOffset>
                </wp:positionH>
                <wp:positionV relativeFrom="paragraph">
                  <wp:posOffset>46990</wp:posOffset>
                </wp:positionV>
                <wp:extent cx="0" cy="3204210"/>
                <wp:effectExtent l="95250" t="0" r="57150" b="53339"/>
                <wp:wrapNone/>
                <wp:docPr id="1031" name="Straight Arrow Connector 11"/>
                <wp:cNvGraphicFramePr/>
                <a:graphic xmlns:a="http://schemas.openxmlformats.org/drawingml/2006/main">
                  <a:graphicData uri="http://schemas.microsoft.com/office/word/2010/wordprocessingShape">
                    <wps:wsp>
                      <wps:cNvCnPr/>
                      <wps:spPr>
                        <a:xfrm>
                          <a:off x="0" y="0"/>
                          <a:ext cx="0" cy="3204210"/>
                        </a:xfrm>
                        <a:prstGeom prst="straightConnector1">
                          <a:avLst/>
                        </a:prstGeom>
                        <a:ln w="6350" cap="flat" cmpd="sng">
                          <a:solidFill>
                            <a:srgbClr val="4472C4"/>
                          </a:solidFill>
                          <a:prstDash val="solid"/>
                          <a:miter/>
                          <a:tailEnd type="arrow" w="med" len="med"/>
                        </a:ln>
                      </wps:spPr>
                      <wps:bodyPr/>
                    </wps:wsp>
                  </a:graphicData>
                </a:graphic>
              </wp:anchor>
            </w:drawing>
          </mc:Choice>
          <mc:Fallback>
            <w:pict>
              <v:shape id="Straight Arrow Connector 11" o:spid="_x0000_s1026" o:spt="32" type="#_x0000_t32" style="position:absolute;left:0pt;margin-left:219.95pt;margin-top:3.7pt;height:252.3pt;width:0pt;z-index:251659264;mso-width-relative:page;mso-height-relative:page;" filled="f" stroked="t" coordsize="21600,21600" o:gfxdata="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k+cL3tcA&#10;AAAJAQAADwAAAAAAAAABACAAAAAiAAAAZHJzL2Rvd25yZXYueG1sUEsBAhQAFAAAAAgAh07iQKx5&#10;6BbnAQAA1AMAAA4AAAAAAAAAAQAgAAAAJgEAAGRycy9lMm9Eb2MueG1sUEsFBgAAAAAGAAYAWQEA&#10;AH8FAAAAAA==&#10;">
                <v:fill on="f" focussize="0,0"/>
                <v:stroke weight="0.5pt" color="#4472C4" joinstyle="miter" endarrow="open"/>
                <v:imagedata o:title=""/>
                <o:lock v:ext="edit" aspectratio="f"/>
              </v:shape>
            </w:pict>
          </mc:Fallback>
        </mc:AlternateContent>
      </w:r>
      <w:r>
        <w:rPr>
          <w:rFonts w:ascii="Calibri" w:hAnsi="Calibri" w:cs="Times New Roman"/>
          <w:sz w:val="22"/>
        </w:rPr>
        <mc:AlternateContent>
          <mc:Choice Requires="wps">
            <w:drawing>
              <wp:anchor distT="0" distB="0" distL="0" distR="0" simplePos="0" relativeHeight="251659264" behindDoc="0" locked="0" layoutInCell="1" allowOverlap="1">
                <wp:simplePos x="0" y="0"/>
                <wp:positionH relativeFrom="column">
                  <wp:posOffset>1751330</wp:posOffset>
                </wp:positionH>
                <wp:positionV relativeFrom="paragraph">
                  <wp:posOffset>46990</wp:posOffset>
                </wp:positionV>
                <wp:extent cx="1017905" cy="8255"/>
                <wp:effectExtent l="38100" t="76200" r="0" b="106679"/>
                <wp:wrapNone/>
                <wp:docPr id="1032" name="Straight Arrow Connector 9"/>
                <wp:cNvGraphicFramePr/>
                <a:graphic xmlns:a="http://schemas.openxmlformats.org/drawingml/2006/main">
                  <a:graphicData uri="http://schemas.microsoft.com/office/word/2010/wordprocessingShape">
                    <wps:wsp>
                      <wps:cNvCnPr/>
                      <wps:spPr>
                        <a:xfrm flipH="1">
                          <a:off x="0" y="0"/>
                          <a:ext cx="1017904" cy="8254"/>
                        </a:xfrm>
                        <a:prstGeom prst="straightConnector1">
                          <a:avLst/>
                        </a:prstGeom>
                        <a:ln w="6350" cap="flat" cmpd="sng">
                          <a:solidFill>
                            <a:srgbClr val="4472C4"/>
                          </a:solidFill>
                          <a:prstDash val="solid"/>
                          <a:miter/>
                          <a:tailEnd type="arrow" w="med" len="med"/>
                        </a:ln>
                      </wps:spPr>
                      <wps:bodyPr/>
                    </wps:wsp>
                  </a:graphicData>
                </a:graphic>
              </wp:anchor>
            </w:drawing>
          </mc:Choice>
          <mc:Fallback>
            <w:pict>
              <v:shape id="Straight Arrow Connector 9" o:spid="_x0000_s1026" o:spt="32" type="#_x0000_t32" style="position:absolute;left:0pt;flip:x;margin-left:137.9pt;margin-top:3.7pt;height:0.65pt;width:80.15pt;z-index:251659264;mso-width-relative:page;mso-height-relative:page;" filled="f" stroked="t" coordsize="21600,21600" o:gfxdata="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Aq4wJfYAAAABwEAAA8AAAAAAAAAAQAgAAAAIgAAAGRycy9kb3ducmV2LnhtbFBLAQIUABQA&#10;AAAIAIdO4kCBMS4s8AEAAOADAAAOAAAAAAAAAAEAIAAAACcBAABkcnMvZTJvRG9jLnhtbFBLBQYA&#10;AAAABgAGAFkBAACJBQAAAAA=&#10;">
                <v:fill on="f" focussize="0,0"/>
                <v:stroke weight="0.5pt" color="#4472C4" joinstyle="miter" endarrow="open"/>
                <v:imagedata o:title=""/>
                <o:lock v:ext="edit" aspectratio="f"/>
              </v:shape>
            </w:pict>
          </mc:Fallback>
        </mc:AlternateContent>
      </w:r>
    </w:p>
    <w:p>
      <w:pPr>
        <w:spacing w:before="0" w:after="200" w:line="276" w:lineRule="auto"/>
        <w:jc w:val="left"/>
        <w:rPr>
          <w:rFonts w:ascii="Calibri" w:hAnsi="Calibri" w:cs="Times New Roman"/>
          <w:sz w:val="22"/>
          <w:highlight w:val="yellow"/>
        </w:rPr>
      </w:pPr>
    </w:p>
    <w:p>
      <w:pPr>
        <w:spacing w:before="0" w:after="200" w:line="276" w:lineRule="auto"/>
        <w:jc w:val="left"/>
        <w:rPr>
          <w:rFonts w:ascii="Calibri" w:hAnsi="Calibri" w:cs="Times New Roman"/>
          <w:sz w:val="22"/>
          <w:highlight w:val="yellow"/>
        </w:rPr>
      </w:pPr>
      <w:r>
        <w:rPr>
          <w:rFonts w:ascii="Calibri" w:hAnsi="Calibri" w:cs="Times New Roman"/>
          <w:sz w:val="22"/>
          <w:highlight w:val="yellow"/>
        </w:rPr>
        <mc:AlternateContent>
          <mc:Choice Requires="wps">
            <w:drawing>
              <wp:anchor distT="0" distB="0" distL="0" distR="0" simplePos="0" relativeHeight="251659264" behindDoc="0" locked="0" layoutInCell="1" allowOverlap="1">
                <wp:simplePos x="0" y="0"/>
                <wp:positionH relativeFrom="column">
                  <wp:posOffset>-147955</wp:posOffset>
                </wp:positionH>
                <wp:positionV relativeFrom="paragraph">
                  <wp:posOffset>290830</wp:posOffset>
                </wp:positionV>
                <wp:extent cx="1899285" cy="1097280"/>
                <wp:effectExtent l="38735" t="18415" r="43180" b="65405"/>
                <wp:wrapNone/>
                <wp:docPr id="1033" name="Rounded Rectangle 5"/>
                <wp:cNvGraphicFramePr/>
                <a:graphic xmlns:a="http://schemas.openxmlformats.org/drawingml/2006/main">
                  <a:graphicData uri="http://schemas.microsoft.com/office/word/2010/wordprocessingShape">
                    <wps:wsp>
                      <wps:cNvSpPr/>
                      <wps:spPr>
                        <a:xfrm>
                          <a:off x="0" y="0"/>
                          <a:ext cx="1899285" cy="1097280"/>
                        </a:xfrm>
                        <a:prstGeom prst="roundRect">
                          <a:avLst/>
                        </a:prstGeom>
                        <a:gradFill flip="none" rotWithShape="1">
                          <a:gsLst>
                            <a:gs pos="0">
                              <a:srgbClr val="9BE9FF"/>
                            </a:gs>
                            <a:gs pos="35000">
                              <a:srgbClr val="B9F0FF"/>
                            </a:gs>
                            <a:gs pos="100000">
                              <a:srgbClr val="E2FBFF"/>
                            </a:gs>
                          </a:gsLst>
                          <a:lin ang="16200000" scaled="1"/>
                        </a:gradFill>
                        <a:ln w="9525" cap="flat" cmpd="sng">
                          <a:solidFill>
                            <a:srgbClr val="45A9C4"/>
                          </a:solidFill>
                          <a:prstDash val="solid"/>
                          <a:round/>
                        </a:ln>
                        <a:effectLst>
                          <a:outerShdw blurRad="40000" dist="12700" dir="5400000" rotWithShape="0">
                            <a:srgbClr val="000000">
                              <a:alpha val="38000"/>
                            </a:srgbClr>
                          </a:outerShdw>
                        </a:effectLst>
                      </wps:spPr>
                      <wps:txbx>
                        <w:txbxContent>
                          <w:p>
                            <w:pPr>
                              <w:spacing w:after="200" w:line="276" w:lineRule="auto"/>
                              <w:rPr>
                                <w:rFonts w:cs="Times New Roman"/>
                                <w:b/>
                                <w:sz w:val="20"/>
                                <w:szCs w:val="20"/>
                              </w:rPr>
                            </w:pPr>
                            <w:r>
                              <w:rPr>
                                <w:rFonts w:cs="Times New Roman"/>
                                <w:b/>
                                <w:sz w:val="20"/>
                                <w:szCs w:val="20"/>
                              </w:rPr>
                              <w:t xml:space="preserve">Perceptions </w:t>
                            </w:r>
                          </w:p>
                          <w:p>
                            <w:pPr>
                              <w:pStyle w:val="38"/>
                              <w:numPr>
                                <w:ilvl w:val="0"/>
                                <w:numId w:val="5"/>
                              </w:numPr>
                              <w:spacing w:before="0" w:after="200" w:line="276" w:lineRule="auto"/>
                              <w:jc w:val="left"/>
                              <w:rPr>
                                <w:rFonts w:cs="Times New Roman"/>
                                <w:sz w:val="20"/>
                                <w:szCs w:val="20"/>
                              </w:rPr>
                            </w:pPr>
                            <w:r>
                              <w:rPr>
                                <w:rFonts w:cs="Times New Roman"/>
                                <w:sz w:val="20"/>
                                <w:szCs w:val="20"/>
                              </w:rPr>
                              <w:t>Positive</w:t>
                            </w:r>
                          </w:p>
                          <w:p>
                            <w:pPr>
                              <w:pStyle w:val="38"/>
                              <w:numPr>
                                <w:ilvl w:val="0"/>
                                <w:numId w:val="5"/>
                              </w:numPr>
                              <w:spacing w:before="0" w:after="200" w:line="276" w:lineRule="auto"/>
                              <w:jc w:val="left"/>
                              <w:rPr>
                                <w:rFonts w:cs="Times New Roman"/>
                                <w:sz w:val="20"/>
                                <w:szCs w:val="20"/>
                              </w:rPr>
                            </w:pPr>
                            <w:r>
                              <w:rPr>
                                <w:rFonts w:cs="Times New Roman"/>
                                <w:sz w:val="20"/>
                                <w:szCs w:val="20"/>
                              </w:rPr>
                              <w:t>Negative</w:t>
                            </w:r>
                          </w:p>
                          <w:p>
                            <w:pPr>
                              <w:pStyle w:val="38"/>
                              <w:numPr>
                                <w:ilvl w:val="0"/>
                                <w:numId w:val="5"/>
                              </w:numPr>
                              <w:spacing w:before="0" w:after="200" w:line="276" w:lineRule="auto"/>
                              <w:jc w:val="left"/>
                              <w:rPr>
                                <w:rFonts w:cs="Times New Roman"/>
                                <w:sz w:val="20"/>
                                <w:szCs w:val="20"/>
                              </w:rPr>
                            </w:pPr>
                            <w:r>
                              <w:rPr>
                                <w:rFonts w:cs="Times New Roman"/>
                                <w:sz w:val="20"/>
                                <w:szCs w:val="20"/>
                              </w:rPr>
                              <w:t>Neutral</w:t>
                            </w:r>
                          </w:p>
                        </w:txbxContent>
                      </wps:txbx>
                      <wps:bodyPr vert="horz" wrap="square" lIns="91440" tIns="45720" rIns="91440" bIns="45720" anchor="ctr">
                        <a:noAutofit/>
                      </wps:bodyPr>
                    </wps:wsp>
                  </a:graphicData>
                </a:graphic>
              </wp:anchor>
            </w:drawing>
          </mc:Choice>
          <mc:Fallback>
            <w:pict>
              <v:roundrect id="Rounded Rectangle 5" o:spid="_x0000_s1026" o:spt="2" style="position:absolute;left:0pt;margin-left:-11.65pt;margin-top:22.9pt;height:86.4pt;width:149.55pt;z-index:251659264;v-text-anchor:middle;mso-width-relative:page;mso-height-relative:page;" fillcolor="#9BE9FF" filled="t" stroked="t" coordsize="21600,21600" arcsize="0.166666666666667" o:gfxdata="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">
                <v:fill type="gradient" on="t" color2="#E2FBFF" colors="0f #9BE9FF;22938f #B9F0FF;65536f #E2FBFF" angle="180" focus="100%" focussize="0,0" rotate="t"/>
                <v:stroke color="#45A9C4" joinstyle="round"/>
                <v:imagedata o:title=""/>
                <o:lock v:ext="edit" aspectratio="f"/>
                <v:shadow on="t" color="#000000" opacity="24903f" offset="0pt,1pt" origin="0f,32768f" matrix="65536f,0f,0f,65536f"/>
                <v:textbox>
                  <w:txbxContent>
                    <w:p>
                      <w:pPr>
                        <w:spacing w:after="200" w:line="276" w:lineRule="auto"/>
                        <w:rPr>
                          <w:rFonts w:cs="Times New Roman"/>
                          <w:b/>
                          <w:sz w:val="20"/>
                          <w:szCs w:val="20"/>
                        </w:rPr>
                      </w:pPr>
                      <w:r>
                        <w:rPr>
                          <w:rFonts w:cs="Times New Roman"/>
                          <w:b/>
                          <w:sz w:val="20"/>
                          <w:szCs w:val="20"/>
                        </w:rPr>
                        <w:t xml:space="preserve">Perceptions </w:t>
                      </w:r>
                    </w:p>
                    <w:p>
                      <w:pPr>
                        <w:pStyle w:val="38"/>
                        <w:numPr>
                          <w:ilvl w:val="0"/>
                          <w:numId w:val="5"/>
                        </w:numPr>
                        <w:spacing w:before="0" w:after="200" w:line="276" w:lineRule="auto"/>
                        <w:jc w:val="left"/>
                        <w:rPr>
                          <w:rFonts w:cs="Times New Roman"/>
                          <w:sz w:val="20"/>
                          <w:szCs w:val="20"/>
                        </w:rPr>
                      </w:pPr>
                      <w:r>
                        <w:rPr>
                          <w:rFonts w:cs="Times New Roman"/>
                          <w:sz w:val="20"/>
                          <w:szCs w:val="20"/>
                        </w:rPr>
                        <w:t>Positive</w:t>
                      </w:r>
                    </w:p>
                    <w:p>
                      <w:pPr>
                        <w:pStyle w:val="38"/>
                        <w:numPr>
                          <w:ilvl w:val="0"/>
                          <w:numId w:val="5"/>
                        </w:numPr>
                        <w:spacing w:before="0" w:after="200" w:line="276" w:lineRule="auto"/>
                        <w:jc w:val="left"/>
                        <w:rPr>
                          <w:rFonts w:cs="Times New Roman"/>
                          <w:sz w:val="20"/>
                          <w:szCs w:val="20"/>
                        </w:rPr>
                      </w:pPr>
                      <w:r>
                        <w:rPr>
                          <w:rFonts w:cs="Times New Roman"/>
                          <w:sz w:val="20"/>
                          <w:szCs w:val="20"/>
                        </w:rPr>
                        <w:t>Negative</w:t>
                      </w:r>
                    </w:p>
                    <w:p>
                      <w:pPr>
                        <w:pStyle w:val="38"/>
                        <w:numPr>
                          <w:ilvl w:val="0"/>
                          <w:numId w:val="5"/>
                        </w:numPr>
                        <w:spacing w:before="0" w:after="200" w:line="276" w:lineRule="auto"/>
                        <w:jc w:val="left"/>
                        <w:rPr>
                          <w:rFonts w:cs="Times New Roman"/>
                          <w:sz w:val="20"/>
                          <w:szCs w:val="20"/>
                        </w:rPr>
                      </w:pPr>
                      <w:r>
                        <w:rPr>
                          <w:rFonts w:cs="Times New Roman"/>
                          <w:sz w:val="20"/>
                          <w:szCs w:val="20"/>
                        </w:rPr>
                        <w:t>Neutral</w:t>
                      </w:r>
                    </w:p>
                  </w:txbxContent>
                </v:textbox>
              </v:roundrect>
            </w:pict>
          </mc:Fallback>
        </mc:AlternateContent>
      </w:r>
    </w:p>
    <w:p>
      <w:pPr>
        <w:spacing w:before="0" w:after="200" w:line="276" w:lineRule="auto"/>
        <w:jc w:val="left"/>
        <w:rPr>
          <w:rFonts w:ascii="Calibri" w:hAnsi="Calibri" w:cs="Times New Roman"/>
          <w:sz w:val="22"/>
          <w:highlight w:val="yellow"/>
        </w:rPr>
      </w:pPr>
    </w:p>
    <w:p>
      <w:pPr>
        <w:spacing w:before="0" w:after="200" w:line="276" w:lineRule="auto"/>
        <w:jc w:val="left"/>
        <w:rPr>
          <w:rFonts w:ascii="Calibri" w:hAnsi="Calibri" w:cs="Times New Roman"/>
          <w:sz w:val="22"/>
          <w:highlight w:val="yellow"/>
        </w:rPr>
      </w:pPr>
      <w:r>
        <w:rPr>
          <w:rFonts w:ascii="Calibri" w:hAnsi="Calibri" w:cs="Times New Roman"/>
          <w:sz w:val="22"/>
          <w:highlight w:val="yellow"/>
        </w:rPr>
        <mc:AlternateContent>
          <mc:Choice Requires="wps">
            <w:drawing>
              <wp:anchor distT="0" distB="0" distL="0" distR="0" simplePos="0" relativeHeight="251659264" behindDoc="0" locked="0" layoutInCell="1" allowOverlap="1">
                <wp:simplePos x="0" y="0"/>
                <wp:positionH relativeFrom="column">
                  <wp:posOffset>2299970</wp:posOffset>
                </wp:positionH>
                <wp:positionV relativeFrom="paragraph">
                  <wp:posOffset>219075</wp:posOffset>
                </wp:positionV>
                <wp:extent cx="1271905" cy="0"/>
                <wp:effectExtent l="0" t="76200" r="23495" b="114300"/>
                <wp:wrapNone/>
                <wp:docPr id="1034" name="Straight Arrow Connector 13"/>
                <wp:cNvGraphicFramePr/>
                <a:graphic xmlns:a="http://schemas.openxmlformats.org/drawingml/2006/main">
                  <a:graphicData uri="http://schemas.microsoft.com/office/word/2010/wordprocessingShape">
                    <wps:wsp>
                      <wps:cNvCnPr/>
                      <wps:spPr>
                        <a:xfrm>
                          <a:off x="0" y="0"/>
                          <a:ext cx="1271904" cy="0"/>
                        </a:xfrm>
                        <a:prstGeom prst="straightConnector1">
                          <a:avLst/>
                        </a:prstGeom>
                        <a:ln w="9525" cap="flat" cmpd="sng">
                          <a:solidFill>
                            <a:srgbClr val="4A7DBA"/>
                          </a:solidFill>
                          <a:prstDash val="solid"/>
                          <a:round/>
                          <a:tailEnd type="arrow" w="med" len="med"/>
                        </a:ln>
                      </wps:spPr>
                      <wps:bodyPr/>
                    </wps:wsp>
                  </a:graphicData>
                </a:graphic>
              </wp:anchor>
            </w:drawing>
          </mc:Choice>
          <mc:Fallback>
            <w:pict>
              <v:shape id="Straight Arrow Connector 13" o:spid="_x0000_s1026" o:spt="32" type="#_x0000_t32" style="position:absolute;left:0pt;margin-left:181.1pt;margin-top:17.25pt;height:0pt;width:100.15pt;z-index:251659264;mso-width-relative:page;mso-height-relative:page;" filled="f" stroked="t" coordsize="21600,21600" o:gfxdata="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y6UutdUA&#10;AAAJAQAADwAAAAAAAAABACAAAAAiAAAAZHJzL2Rvd25yZXYueG1sUEsBAhQAFAAAAAgAh07iQDZ3&#10;hU7pAQAA1AMAAA4AAAAAAAAAAQAgAAAAJAEAAGRycy9lMm9Eb2MueG1sUEsFBgAAAAAGAAYAWQEA&#10;AH8FAAAAAA==&#10;">
                <v:fill on="f" focussize="0,0"/>
                <v:stroke color="#4A7DBA" joinstyle="round" endarrow="open"/>
                <v:imagedata o:title=""/>
                <o:lock v:ext="edit" aspectratio="f"/>
              </v:shape>
            </w:pict>
          </mc:Fallback>
        </mc:AlternateContent>
      </w:r>
      <w:r>
        <w:rPr>
          <w:rFonts w:ascii="Calibri" w:hAnsi="Calibri" w:cs="Times New Roman"/>
          <w:sz w:val="22"/>
        </w:rPr>
        <mc:AlternateContent>
          <mc:Choice Requires="wps">
            <w:drawing>
              <wp:anchor distT="0" distB="0" distL="0" distR="0" simplePos="0" relativeHeight="251659264" behindDoc="0" locked="0" layoutInCell="1" allowOverlap="1">
                <wp:simplePos x="0" y="0"/>
                <wp:positionH relativeFrom="column">
                  <wp:posOffset>1751330</wp:posOffset>
                </wp:positionH>
                <wp:positionV relativeFrom="paragraph">
                  <wp:posOffset>224790</wp:posOffset>
                </wp:positionV>
                <wp:extent cx="1017905" cy="8255"/>
                <wp:effectExtent l="38100" t="76200" r="0" b="106679"/>
                <wp:wrapNone/>
                <wp:docPr id="1035" name="Straight Arrow Connector 10"/>
                <wp:cNvGraphicFramePr/>
                <a:graphic xmlns:a="http://schemas.openxmlformats.org/drawingml/2006/main">
                  <a:graphicData uri="http://schemas.microsoft.com/office/word/2010/wordprocessingShape">
                    <wps:wsp>
                      <wps:cNvCnPr/>
                      <wps:spPr>
                        <a:xfrm flipH="1" flipV="1">
                          <a:off x="0" y="0"/>
                          <a:ext cx="1017904" cy="8254"/>
                        </a:xfrm>
                        <a:prstGeom prst="straightConnector1">
                          <a:avLst/>
                        </a:prstGeom>
                        <a:ln w="6350" cap="flat" cmpd="sng">
                          <a:solidFill>
                            <a:srgbClr val="4472C4"/>
                          </a:solidFill>
                          <a:prstDash val="solid"/>
                          <a:miter/>
                          <a:tailEnd type="arrow" w="med" len="med"/>
                        </a:ln>
                      </wps:spPr>
                      <wps:bodyPr/>
                    </wps:wsp>
                  </a:graphicData>
                </a:graphic>
              </wp:anchor>
            </w:drawing>
          </mc:Choice>
          <mc:Fallback>
            <w:pict>
              <v:shape id="Straight Arrow Connector 10" o:spid="_x0000_s1026" o:spt="32" type="#_x0000_t32" style="position:absolute;left:0pt;flip:x y;margin-left:137.9pt;margin-top:17.7pt;height:0.65pt;width:80.15pt;z-index:251659264;mso-width-relative:page;mso-height-relative:page;" filled="f" stroked="t" coordsize="21600,21600" o:gfxdata="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BXc5dY1wAAAAkBAAAPAAAAAAAAAAEAIAAAACIAAABkcnMvZG93bnJldi54bWxQSwEC&#10;FAAUAAAACACHTuJAkWOh2vUBAADrAwAADgAAAAAAAAABACAAAAAmAQAAZHJzL2Uyb0RvYy54bWxQ&#10;SwUGAAAAAAYABgBZAQAAjQUAAAAA&#10;">
                <v:fill on="f" focussize="0,0"/>
                <v:stroke weight="0.5pt" color="#4472C4" joinstyle="miter" endarrow="open"/>
                <v:imagedata o:title=""/>
                <o:lock v:ext="edit" aspectratio="f"/>
              </v:shape>
            </w:pict>
          </mc:Fallback>
        </mc:AlternateContent>
      </w:r>
    </w:p>
    <w:p>
      <w:pPr>
        <w:spacing w:before="0" w:after="200" w:line="276" w:lineRule="auto"/>
        <w:jc w:val="left"/>
        <w:rPr>
          <w:rFonts w:ascii="Calibri" w:hAnsi="Calibri" w:cs="Times New Roman"/>
          <w:sz w:val="22"/>
          <w:highlight w:val="yellow"/>
        </w:rPr>
      </w:pPr>
    </w:p>
    <w:p>
      <w:pPr>
        <w:spacing w:before="0" w:after="200" w:line="276" w:lineRule="auto"/>
        <w:jc w:val="left"/>
        <w:rPr>
          <w:rFonts w:ascii="Calibri" w:hAnsi="Calibri" w:cs="Times New Roman"/>
          <w:sz w:val="22"/>
          <w:highlight w:val="yellow"/>
        </w:rPr>
      </w:pPr>
      <w:r>
        <w:rPr>
          <w:rFonts w:ascii="Calibri" w:hAnsi="Calibri" w:cs="Times New Roman"/>
          <w:sz w:val="22"/>
          <w:highlight w:val="yellow"/>
        </w:rPr>
        <mc:AlternateContent>
          <mc:Choice Requires="wps">
            <w:drawing>
              <wp:anchor distT="0" distB="0" distL="0" distR="0" simplePos="0" relativeHeight="251659264" behindDoc="0" locked="0" layoutInCell="1" allowOverlap="1">
                <wp:simplePos x="0" y="0"/>
                <wp:positionH relativeFrom="column">
                  <wp:posOffset>-139065</wp:posOffset>
                </wp:positionH>
                <wp:positionV relativeFrom="paragraph">
                  <wp:posOffset>254000</wp:posOffset>
                </wp:positionV>
                <wp:extent cx="1930400" cy="1343660"/>
                <wp:effectExtent l="38735" t="18415" r="50165" b="66675"/>
                <wp:wrapNone/>
                <wp:docPr id="1036" name="Rounded Rectangle 7"/>
                <wp:cNvGraphicFramePr/>
                <a:graphic xmlns:a="http://schemas.openxmlformats.org/drawingml/2006/main">
                  <a:graphicData uri="http://schemas.microsoft.com/office/word/2010/wordprocessingShape">
                    <wps:wsp>
                      <wps:cNvSpPr/>
                      <wps:spPr>
                        <a:xfrm>
                          <a:off x="0" y="0"/>
                          <a:ext cx="1930400" cy="1343660"/>
                        </a:xfrm>
                        <a:prstGeom prst="roundRect">
                          <a:avLst/>
                        </a:prstGeom>
                        <a:gradFill flip="none" rotWithShape="1">
                          <a:gsLst>
                            <a:gs pos="0">
                              <a:srgbClr val="9BE9FF"/>
                            </a:gs>
                            <a:gs pos="35000">
                              <a:srgbClr val="B9F0FF"/>
                            </a:gs>
                            <a:gs pos="100000">
                              <a:srgbClr val="E2FBFF"/>
                            </a:gs>
                          </a:gsLst>
                          <a:lin ang="16200000" scaled="1"/>
                        </a:gradFill>
                        <a:ln w="9525" cap="flat" cmpd="sng">
                          <a:solidFill>
                            <a:srgbClr val="45A9C4"/>
                          </a:solidFill>
                          <a:prstDash val="solid"/>
                          <a:round/>
                        </a:ln>
                        <a:effectLst>
                          <a:outerShdw blurRad="40000" dist="12700" dir="5400000" rotWithShape="0">
                            <a:srgbClr val="000000">
                              <a:alpha val="38000"/>
                            </a:srgbClr>
                          </a:outerShdw>
                        </a:effectLst>
                      </wps:spPr>
                      <wps:txbx>
                        <w:txbxContent>
                          <w:p>
                            <w:pPr>
                              <w:spacing w:after="200" w:line="276" w:lineRule="auto"/>
                              <w:rPr>
                                <w:rFonts w:cs="Times New Roman"/>
                                <w:b/>
                                <w:sz w:val="20"/>
                                <w:szCs w:val="20"/>
                              </w:rPr>
                            </w:pPr>
                            <w:r>
                              <w:rPr>
                                <w:rFonts w:cs="Times New Roman"/>
                                <w:b/>
                                <w:sz w:val="20"/>
                                <w:szCs w:val="20"/>
                              </w:rPr>
                              <w:t>Challenges</w:t>
                            </w:r>
                          </w:p>
                          <w:p>
                            <w:pPr>
                              <w:spacing w:after="200" w:line="276" w:lineRule="auto"/>
                              <w:rPr>
                                <w:rFonts w:cs="Times New Roman"/>
                                <w:b/>
                                <w:sz w:val="20"/>
                                <w:szCs w:val="20"/>
                              </w:rPr>
                            </w:pPr>
                            <w:r>
                              <w:rPr>
                                <w:rFonts w:cs="Times New Roman"/>
                                <w:b/>
                                <w:sz w:val="20"/>
                                <w:szCs w:val="20"/>
                              </w:rPr>
                              <w:t>Pension benefit improvement</w:t>
                            </w:r>
                          </w:p>
                          <w:p>
                            <w:pPr>
                              <w:spacing w:after="200" w:line="276" w:lineRule="auto"/>
                              <w:rPr>
                                <w:rFonts w:cs="Times New Roman"/>
                                <w:b/>
                                <w:sz w:val="20"/>
                                <w:szCs w:val="20"/>
                              </w:rPr>
                            </w:pPr>
                            <w:r>
                              <w:rPr>
                                <w:rFonts w:cs="Times New Roman"/>
                                <w:b/>
                                <w:sz w:val="20"/>
                                <w:szCs w:val="20"/>
                              </w:rPr>
                              <w:t xml:space="preserve"> wellfare benefit</w:t>
                            </w:r>
                          </w:p>
                          <w:p>
                            <w:pPr>
                              <w:spacing w:after="200" w:line="276" w:lineRule="auto"/>
                              <w:rPr>
                                <w:rFonts w:cs="Times New Roman"/>
                                <w:b/>
                                <w:sz w:val="20"/>
                                <w:szCs w:val="20"/>
                              </w:rPr>
                            </w:pPr>
                            <w:r>
                              <w:rPr>
                                <w:rFonts w:cs="Times New Roman"/>
                                <w:b/>
                                <w:sz w:val="20"/>
                                <w:szCs w:val="20"/>
                              </w:rPr>
                              <w:t>Financial Stability</w:t>
                            </w:r>
                          </w:p>
                          <w:p>
                            <w:pPr>
                              <w:spacing w:after="200" w:line="276" w:lineRule="auto"/>
                              <w:rPr>
                                <w:rFonts w:cs="Times New Roman"/>
                                <w:b/>
                                <w:sz w:val="20"/>
                                <w:szCs w:val="20"/>
                              </w:rPr>
                            </w:pPr>
                          </w:p>
                        </w:txbxContent>
                      </wps:txbx>
                      <wps:bodyPr vert="horz" wrap="square" lIns="91440" tIns="45720" rIns="91440" bIns="45720" anchor="ctr">
                        <a:noAutofit/>
                      </wps:bodyPr>
                    </wps:wsp>
                  </a:graphicData>
                </a:graphic>
              </wp:anchor>
            </w:drawing>
          </mc:Choice>
          <mc:Fallback>
            <w:pict>
              <v:roundrect id="Rounded Rectangle 7" o:spid="_x0000_s1026" o:spt="2" style="position:absolute;left:0pt;margin-left:-10.95pt;margin-top:20pt;height:105.8pt;width:152pt;z-index:251659264;v-text-anchor:middle;mso-width-relative:page;mso-height-relative:page;" fillcolor="#9BE9FF" filled="t" stroked="t" coordsize="21600,21600" arcsize="0.166666666666667" o:gfxdata="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">
                <v:fill type="gradient" on="t" color2="#E2FBFF" colors="0f #9BE9FF;22938f #B9F0FF;65536f #E2FBFF" angle="180" focus="100%" focussize="0,0" rotate="t"/>
                <v:stroke color="#45A9C4" joinstyle="round"/>
                <v:imagedata o:title=""/>
                <o:lock v:ext="edit" aspectratio="f"/>
                <v:shadow on="t" color="#000000" opacity="24903f" offset="0pt,1pt" origin="0f,32768f" matrix="65536f,0f,0f,65536f"/>
                <v:textbox>
                  <w:txbxContent>
                    <w:p>
                      <w:pPr>
                        <w:spacing w:after="200" w:line="276" w:lineRule="auto"/>
                        <w:rPr>
                          <w:rFonts w:cs="Times New Roman"/>
                          <w:b/>
                          <w:sz w:val="20"/>
                          <w:szCs w:val="20"/>
                        </w:rPr>
                      </w:pPr>
                      <w:r>
                        <w:rPr>
                          <w:rFonts w:cs="Times New Roman"/>
                          <w:b/>
                          <w:sz w:val="20"/>
                          <w:szCs w:val="20"/>
                        </w:rPr>
                        <w:t>Challenges</w:t>
                      </w:r>
                    </w:p>
                    <w:p>
                      <w:pPr>
                        <w:spacing w:after="200" w:line="276" w:lineRule="auto"/>
                        <w:rPr>
                          <w:rFonts w:cs="Times New Roman"/>
                          <w:b/>
                          <w:sz w:val="20"/>
                          <w:szCs w:val="20"/>
                        </w:rPr>
                      </w:pPr>
                      <w:r>
                        <w:rPr>
                          <w:rFonts w:cs="Times New Roman"/>
                          <w:b/>
                          <w:sz w:val="20"/>
                          <w:szCs w:val="20"/>
                        </w:rPr>
                        <w:t>Pension benefit improvement</w:t>
                      </w:r>
                    </w:p>
                    <w:p>
                      <w:pPr>
                        <w:spacing w:after="200" w:line="276" w:lineRule="auto"/>
                        <w:rPr>
                          <w:rFonts w:cs="Times New Roman"/>
                          <w:b/>
                          <w:sz w:val="20"/>
                          <w:szCs w:val="20"/>
                        </w:rPr>
                      </w:pPr>
                      <w:r>
                        <w:rPr>
                          <w:rFonts w:cs="Times New Roman"/>
                          <w:b/>
                          <w:sz w:val="20"/>
                          <w:szCs w:val="20"/>
                        </w:rPr>
                        <w:t xml:space="preserve"> wellfare benefit</w:t>
                      </w:r>
                    </w:p>
                    <w:p>
                      <w:pPr>
                        <w:spacing w:after="200" w:line="276" w:lineRule="auto"/>
                        <w:rPr>
                          <w:rFonts w:cs="Times New Roman"/>
                          <w:b/>
                          <w:sz w:val="20"/>
                          <w:szCs w:val="20"/>
                        </w:rPr>
                      </w:pPr>
                      <w:r>
                        <w:rPr>
                          <w:rFonts w:cs="Times New Roman"/>
                          <w:b/>
                          <w:sz w:val="20"/>
                          <w:szCs w:val="20"/>
                        </w:rPr>
                        <w:t>Financial Stability</w:t>
                      </w:r>
                    </w:p>
                    <w:p>
                      <w:pPr>
                        <w:spacing w:after="200" w:line="276" w:lineRule="auto"/>
                        <w:rPr>
                          <w:rFonts w:cs="Times New Roman"/>
                          <w:b/>
                          <w:sz w:val="20"/>
                          <w:szCs w:val="20"/>
                        </w:rPr>
                      </w:pPr>
                    </w:p>
                  </w:txbxContent>
                </v:textbox>
              </v:roundrect>
            </w:pict>
          </mc:Fallback>
        </mc:AlternateContent>
      </w:r>
    </w:p>
    <w:p>
      <w:pPr>
        <w:spacing w:before="0" w:after="200" w:line="276" w:lineRule="auto"/>
        <w:jc w:val="left"/>
        <w:rPr>
          <w:rFonts w:ascii="Calibri" w:hAnsi="Calibri" w:cs="Times New Roman"/>
          <w:sz w:val="22"/>
          <w:highlight w:val="yellow"/>
        </w:rPr>
      </w:pPr>
    </w:p>
    <w:p>
      <w:pPr>
        <w:spacing w:before="0" w:after="200" w:line="276" w:lineRule="auto"/>
        <w:jc w:val="left"/>
        <w:rPr>
          <w:rFonts w:ascii="Calibri" w:hAnsi="Calibri" w:cs="Times New Roman"/>
          <w:sz w:val="22"/>
          <w:highlight w:val="yellow"/>
        </w:rPr>
      </w:pPr>
      <w:r>
        <w:rPr>
          <w:rFonts w:ascii="Calibri" w:hAnsi="Calibri" w:cs="Times New Roman"/>
          <w:sz w:val="22"/>
        </w:rPr>
        <mc:AlternateContent>
          <mc:Choice Requires="wps">
            <w:drawing>
              <wp:anchor distT="0" distB="0" distL="0" distR="0" simplePos="0" relativeHeight="251659264" behindDoc="0" locked="0" layoutInCell="1" allowOverlap="1">
                <wp:simplePos x="0" y="0"/>
                <wp:positionH relativeFrom="column">
                  <wp:posOffset>1791335</wp:posOffset>
                </wp:positionH>
                <wp:positionV relativeFrom="paragraph">
                  <wp:posOffset>60960</wp:posOffset>
                </wp:positionV>
                <wp:extent cx="977265" cy="0"/>
                <wp:effectExtent l="38100" t="76200" r="0" b="114300"/>
                <wp:wrapNone/>
                <wp:docPr id="1037" name="Straight Arrow Connector 14"/>
                <wp:cNvGraphicFramePr/>
                <a:graphic xmlns:a="http://schemas.openxmlformats.org/drawingml/2006/main">
                  <a:graphicData uri="http://schemas.microsoft.com/office/word/2010/wordprocessingShape">
                    <wps:wsp>
                      <wps:cNvCnPr/>
                      <wps:spPr>
                        <a:xfrm flipH="1">
                          <a:off x="0" y="0"/>
                          <a:ext cx="977264" cy="0"/>
                        </a:xfrm>
                        <a:prstGeom prst="straightConnector1">
                          <a:avLst/>
                        </a:prstGeom>
                        <a:ln w="6350" cap="flat" cmpd="sng">
                          <a:solidFill>
                            <a:srgbClr val="4472C4"/>
                          </a:solidFill>
                          <a:prstDash val="solid"/>
                          <a:miter/>
                          <a:tailEnd type="arrow" w="med" len="med"/>
                        </a:ln>
                      </wps:spPr>
                      <wps:bodyPr/>
                    </wps:wsp>
                  </a:graphicData>
                </a:graphic>
              </wp:anchor>
            </w:drawing>
          </mc:Choice>
          <mc:Fallback>
            <w:pict>
              <v:shape id="Straight Arrow Connector 14" o:spid="_x0000_s1026" o:spt="32" type="#_x0000_t32" style="position:absolute;left:0pt;flip:x;margin-left:141.05pt;margin-top:4.8pt;height:0pt;width:76.95pt;z-index:251659264;mso-width-relative:page;mso-height-relative:page;" filled="f" stroked="t" coordsize="21600,21600" o:gfxdata="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AbQNcXXAAAABwEAAA8AAAAAAAAAAQAgAAAAIgAAAGRycy9kb3ducmV2LnhtbFBLAQIUABQAAAAI&#10;AIdO4kDjNNwG7gEAAN0DAAAOAAAAAAAAAAEAIAAAACYBAABkcnMvZTJvRG9jLnhtbFBLBQYAAAAA&#10;BgAGAFkBAACGBQAAAAA=&#10;">
                <v:fill on="f" focussize="0,0"/>
                <v:stroke weight="0.5pt" color="#4472C4" joinstyle="miter" endarrow="open"/>
                <v:imagedata o:title=""/>
                <o:lock v:ext="edit" aspectratio="f"/>
              </v:shape>
            </w:pict>
          </mc:Fallback>
        </mc:AlternateContent>
      </w:r>
    </w:p>
    <w:p>
      <w:pPr>
        <w:spacing w:before="0" w:after="200" w:line="276" w:lineRule="auto"/>
        <w:jc w:val="left"/>
        <w:rPr>
          <w:rFonts w:ascii="Calibri" w:hAnsi="Calibri" w:cs="Times New Roman"/>
          <w:sz w:val="22"/>
          <w:highlight w:val="yellow"/>
        </w:rPr>
      </w:pPr>
    </w:p>
    <w:p>
      <w:pPr>
        <w:spacing w:before="0" w:after="200" w:line="276" w:lineRule="auto"/>
        <w:jc w:val="left"/>
        <w:rPr>
          <w:rFonts w:ascii="Calibri" w:hAnsi="Calibri" w:cs="Times New Roman"/>
          <w:b/>
          <w:sz w:val="22"/>
          <w:highlight w:val="yellow"/>
        </w:rPr>
      </w:pPr>
      <w:r>
        <w:rPr>
          <w:rFonts w:ascii="Calibri" w:hAnsi="Calibri" w:cs="Times New Roman"/>
          <w:sz w:val="22"/>
          <w:highlight w:val="yellow"/>
        </w:rPr>
        <mc:AlternateContent>
          <mc:Choice Requires="wps">
            <w:drawing>
              <wp:anchor distT="0" distB="0" distL="0" distR="0" simplePos="0" relativeHeight="251659264" behindDoc="0" locked="0" layoutInCell="1" allowOverlap="1">
                <wp:simplePos x="0" y="0"/>
                <wp:positionH relativeFrom="column">
                  <wp:posOffset>1982470</wp:posOffset>
                </wp:positionH>
                <wp:positionV relativeFrom="paragraph">
                  <wp:posOffset>271780</wp:posOffset>
                </wp:positionV>
                <wp:extent cx="1670050" cy="2075180"/>
                <wp:effectExtent l="38735" t="26035" r="43815" b="51435"/>
                <wp:wrapNone/>
                <wp:docPr id="1038" name="Rounded Rectangle 15"/>
                <wp:cNvGraphicFramePr/>
                <a:graphic xmlns:a="http://schemas.openxmlformats.org/drawingml/2006/main">
                  <a:graphicData uri="http://schemas.microsoft.com/office/word/2010/wordprocessingShape">
                    <wps:wsp>
                      <wps:cNvSpPr/>
                      <wps:spPr>
                        <a:xfrm>
                          <a:off x="0" y="0"/>
                          <a:ext cx="1670050" cy="2075180"/>
                        </a:xfrm>
                        <a:prstGeom prst="roundRect">
                          <a:avLst/>
                        </a:prstGeom>
                        <a:gradFill flip="none" rotWithShape="1">
                          <a:gsLst>
                            <a:gs pos="0">
                              <a:srgbClr val="9BE9FF"/>
                            </a:gs>
                            <a:gs pos="35000">
                              <a:srgbClr val="B9F0FF"/>
                            </a:gs>
                            <a:gs pos="100000">
                              <a:srgbClr val="E2FBFF"/>
                            </a:gs>
                          </a:gsLst>
                          <a:lin ang="16200000" scaled="1"/>
                        </a:gradFill>
                        <a:ln w="9525" cap="flat" cmpd="sng">
                          <a:solidFill>
                            <a:srgbClr val="45A9C4"/>
                          </a:solidFill>
                          <a:prstDash val="solid"/>
                          <a:round/>
                        </a:ln>
                        <a:effectLst>
                          <a:outerShdw blurRad="40000" dist="12700" dir="5400000" rotWithShape="0">
                            <a:srgbClr val="000000">
                              <a:alpha val="38000"/>
                            </a:srgbClr>
                          </a:outerShdw>
                        </a:effectLst>
                      </wps:spPr>
                      <wps:txbx>
                        <w:txbxContent>
                          <w:p>
                            <w:pPr>
                              <w:spacing w:after="200" w:line="276" w:lineRule="auto"/>
                              <w:rPr>
                                <w:rFonts w:ascii="Calibri" w:hAnsi="Calibri" w:cs="Times New Roman"/>
                                <w:b/>
                              </w:rPr>
                            </w:pPr>
                            <w:r>
                              <w:rPr>
                                <w:rFonts w:ascii="Calibri" w:hAnsi="Calibri" w:cs="Times New Roman"/>
                                <w:b/>
                              </w:rPr>
                              <w:t>Intermediate variable</w:t>
                            </w:r>
                          </w:p>
                          <w:p>
                            <w:pPr>
                              <w:rPr>
                                <w:rFonts w:cs="Times New Roman"/>
                                <w:sz w:val="20"/>
                                <w:szCs w:val="20"/>
                              </w:rPr>
                            </w:pPr>
                            <w:r>
                              <w:rPr>
                                <w:rFonts w:cs="Times New Roman"/>
                                <w:sz w:val="20"/>
                                <w:szCs w:val="20"/>
                              </w:rPr>
                              <w:t>Contribution</w:t>
                            </w:r>
                          </w:p>
                          <w:p>
                            <w:pPr>
                              <w:rPr>
                                <w:rFonts w:cs="Times New Roman"/>
                                <w:sz w:val="20"/>
                                <w:szCs w:val="20"/>
                              </w:rPr>
                            </w:pPr>
                            <w:r>
                              <w:rPr>
                                <w:rFonts w:cs="Times New Roman"/>
                                <w:sz w:val="20"/>
                                <w:szCs w:val="20"/>
                              </w:rPr>
                              <w:t>Benefits</w:t>
                            </w:r>
                          </w:p>
                          <w:p>
                            <w:pPr>
                              <w:rPr>
                                <w:rFonts w:cs="Times New Roman"/>
                                <w:sz w:val="20"/>
                                <w:szCs w:val="20"/>
                              </w:rPr>
                            </w:pPr>
                            <w:r>
                              <w:rPr>
                                <w:rFonts w:cs="Times New Roman"/>
                                <w:sz w:val="20"/>
                                <w:szCs w:val="20"/>
                              </w:rPr>
                              <w:t>Skills</w:t>
                            </w:r>
                          </w:p>
                          <w:p>
                            <w:pPr>
                              <w:rPr>
                                <w:rFonts w:cs="Times New Roman"/>
                                <w:sz w:val="20"/>
                                <w:szCs w:val="20"/>
                              </w:rPr>
                            </w:pPr>
                            <w:r>
                              <w:rPr>
                                <w:rFonts w:cs="Times New Roman"/>
                                <w:sz w:val="20"/>
                                <w:szCs w:val="20"/>
                              </w:rPr>
                              <w:t xml:space="preserve">Information </w:t>
                            </w:r>
                          </w:p>
                          <w:p>
                            <w:pPr>
                              <w:rPr>
                                <w:b/>
                              </w:rPr>
                            </w:pPr>
                          </w:p>
                        </w:txbxContent>
                      </wps:txbx>
                      <wps:bodyPr vert="horz" wrap="square" lIns="91440" tIns="45720" rIns="91440" bIns="45720" anchor="ctr">
                        <a:noAutofit/>
                      </wps:bodyPr>
                    </wps:wsp>
                  </a:graphicData>
                </a:graphic>
              </wp:anchor>
            </w:drawing>
          </mc:Choice>
          <mc:Fallback>
            <w:pict>
              <v:roundrect id="Rounded Rectangle 15" o:spid="_x0000_s1026" o:spt="2" style="position:absolute;left:0pt;margin-left:156.1pt;margin-top:21.4pt;height:163.4pt;width:131.5pt;z-index:251659264;v-text-anchor:middle;mso-width-relative:page;mso-height-relative:page;" fillcolor="#9BE9FF" filled="t" stroked="t" coordsize="21600,21600" arcsize="0.166666666666667" o:gfxdata="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">
                <v:fill type="gradient" on="t" color2="#E2FBFF" colors="0f #9BE9FF;22938f #B9F0FF;65536f #E2FBFF" angle="180" focus="100%" focussize="0,0" rotate="t"/>
                <v:stroke color="#45A9C4" joinstyle="round"/>
                <v:imagedata o:title=""/>
                <o:lock v:ext="edit" aspectratio="f"/>
                <v:shadow on="t" color="#000000" opacity="24903f" offset="0pt,1pt" origin="0f,32768f" matrix="65536f,0f,0f,65536f"/>
                <v:textbox>
                  <w:txbxContent>
                    <w:p>
                      <w:pPr>
                        <w:spacing w:after="200" w:line="276" w:lineRule="auto"/>
                        <w:rPr>
                          <w:rFonts w:ascii="Calibri" w:hAnsi="Calibri" w:cs="Times New Roman"/>
                          <w:b/>
                        </w:rPr>
                      </w:pPr>
                      <w:r>
                        <w:rPr>
                          <w:rFonts w:ascii="Calibri" w:hAnsi="Calibri" w:cs="Times New Roman"/>
                          <w:b/>
                        </w:rPr>
                        <w:t>Intermediate variable</w:t>
                      </w:r>
                    </w:p>
                    <w:p>
                      <w:pPr>
                        <w:rPr>
                          <w:rFonts w:cs="Times New Roman"/>
                          <w:sz w:val="20"/>
                          <w:szCs w:val="20"/>
                        </w:rPr>
                      </w:pPr>
                      <w:r>
                        <w:rPr>
                          <w:rFonts w:cs="Times New Roman"/>
                          <w:sz w:val="20"/>
                          <w:szCs w:val="20"/>
                        </w:rPr>
                        <w:t>Contribution</w:t>
                      </w:r>
                    </w:p>
                    <w:p>
                      <w:pPr>
                        <w:rPr>
                          <w:rFonts w:cs="Times New Roman"/>
                          <w:sz w:val="20"/>
                          <w:szCs w:val="20"/>
                        </w:rPr>
                      </w:pPr>
                      <w:r>
                        <w:rPr>
                          <w:rFonts w:cs="Times New Roman"/>
                          <w:sz w:val="20"/>
                          <w:szCs w:val="20"/>
                        </w:rPr>
                        <w:t>Benefits</w:t>
                      </w:r>
                    </w:p>
                    <w:p>
                      <w:pPr>
                        <w:rPr>
                          <w:rFonts w:cs="Times New Roman"/>
                          <w:sz w:val="20"/>
                          <w:szCs w:val="20"/>
                        </w:rPr>
                      </w:pPr>
                      <w:r>
                        <w:rPr>
                          <w:rFonts w:cs="Times New Roman"/>
                          <w:sz w:val="20"/>
                          <w:szCs w:val="20"/>
                        </w:rPr>
                        <w:t>Skills</w:t>
                      </w:r>
                    </w:p>
                    <w:p>
                      <w:pPr>
                        <w:rPr>
                          <w:rFonts w:cs="Times New Roman"/>
                          <w:sz w:val="20"/>
                          <w:szCs w:val="20"/>
                        </w:rPr>
                      </w:pPr>
                      <w:r>
                        <w:rPr>
                          <w:rFonts w:cs="Times New Roman"/>
                          <w:sz w:val="20"/>
                          <w:szCs w:val="20"/>
                        </w:rPr>
                        <w:t xml:space="preserve">Information </w:t>
                      </w:r>
                    </w:p>
                    <w:p>
                      <w:pPr>
                        <w:rPr>
                          <w:b/>
                        </w:rPr>
                      </w:pPr>
                    </w:p>
                  </w:txbxContent>
                </v:textbox>
              </v:roundrect>
            </w:pict>
          </mc:Fallback>
        </mc:AlternateContent>
      </w:r>
    </w:p>
    <w:p>
      <w:pPr>
        <w:spacing w:before="0" w:after="200" w:line="276" w:lineRule="auto"/>
        <w:jc w:val="left"/>
        <w:rPr>
          <w:rFonts w:ascii="Calibri" w:hAnsi="Calibri" w:cs="Times New Roman"/>
          <w:sz w:val="22"/>
          <w:highlight w:val="yellow"/>
        </w:rPr>
      </w:pPr>
    </w:p>
    <w:p>
      <w:pPr>
        <w:spacing w:before="0" w:after="200" w:line="276" w:lineRule="auto"/>
        <w:jc w:val="left"/>
        <w:rPr>
          <w:rFonts w:ascii="Calibri" w:hAnsi="Calibri" w:cs="Times New Roman"/>
          <w:sz w:val="22"/>
          <w:highlight w:val="yellow"/>
        </w:rPr>
      </w:pPr>
    </w:p>
    <w:p>
      <w:pPr>
        <w:spacing w:before="0" w:after="200" w:line="480" w:lineRule="auto"/>
        <w:rPr>
          <w:rFonts w:cs="Times New Roman"/>
          <w:b/>
          <w:bCs/>
          <w:szCs w:val="24"/>
        </w:rPr>
      </w:pPr>
    </w:p>
    <w:p>
      <w:pPr>
        <w:spacing w:before="0" w:after="200" w:line="480" w:lineRule="auto"/>
        <w:rPr>
          <w:rFonts w:cs="Times New Roman"/>
          <w:b/>
          <w:bCs/>
          <w:szCs w:val="24"/>
        </w:rPr>
      </w:pPr>
    </w:p>
    <w:p>
      <w:pPr>
        <w:pStyle w:val="2"/>
      </w:pPr>
      <w:bookmarkStart w:id="83" w:name="_Toc28658"/>
    </w:p>
    <w:p/>
    <w:p>
      <w:pPr>
        <w:rPr>
          <w:rFonts w:hint="default"/>
          <w:lang w:val="en-US"/>
        </w:rPr>
      </w:pPr>
      <w:r>
        <w:rPr>
          <w:rFonts w:hint="default"/>
          <w:lang w:val="en-US"/>
        </w:rPr>
        <w:t>Source: researcher’s own constructor (2024)</w:t>
      </w:r>
    </w:p>
    <w:p/>
    <w:p>
      <w:pPr>
        <w:pStyle w:val="2"/>
      </w:pPr>
      <w:r>
        <w:t>CHAPTER THREE</w:t>
      </w:r>
      <w:bookmarkEnd w:id="83"/>
    </w:p>
    <w:p>
      <w:pPr>
        <w:pStyle w:val="2"/>
      </w:pPr>
      <w:bookmarkStart w:id="84" w:name="_Toc29186"/>
      <w:r>
        <w:t>RESEARCH METHODOLOGY</w:t>
      </w:r>
      <w:bookmarkEnd w:id="84"/>
    </w:p>
    <w:p>
      <w:pPr>
        <w:pStyle w:val="3"/>
        <w:rPr>
          <w:rFonts w:eastAsia="Times New Roman"/>
        </w:rPr>
      </w:pPr>
      <w:bookmarkStart w:id="85" w:name="_Toc32702"/>
      <w:r>
        <w:rPr>
          <w:rFonts w:eastAsia="Times New Roman"/>
        </w:rPr>
        <w:t>3.0 Introduction</w:t>
      </w:r>
      <w:bookmarkEnd w:id="85"/>
    </w:p>
    <w:p>
      <w:pPr>
        <w:pStyle w:val="11"/>
        <w:ind w:left="0"/>
      </w:pPr>
      <w:r>
        <w:t>This chapter outlined the tools and essential apparatus that were used to gather research information from respondents for the study. A robust methodology was critical for the research as it highlighted how the collected data addressed the research questions. It served as the framework for the study, providing structure and clarity. Therefore, this chapter discussed the study design, the population involved, the sampling methodology, methods for data collection, research analysis, the quality of the study (including pilot testing, validity, and reliability), and ethical considerations in the data collection process.</w:t>
      </w:r>
    </w:p>
    <w:p>
      <w:pPr>
        <w:pStyle w:val="3"/>
        <w:rPr>
          <w:rFonts w:eastAsia="Times New Roman"/>
        </w:rPr>
      </w:pPr>
      <w:bookmarkStart w:id="86" w:name="_Toc5108"/>
      <w:r>
        <w:rPr>
          <w:rFonts w:eastAsia="Times New Roman"/>
        </w:rPr>
        <w:t>3.1 Study Area</w:t>
      </w:r>
      <w:bookmarkEnd w:id="86"/>
    </w:p>
    <w:p>
      <w:pPr>
        <w:pStyle w:val="11"/>
        <w:ind w:left="0"/>
      </w:pPr>
      <w:r>
        <w:t>This study was conducted at the PSSSF Temeke Zone, located within Temeke District in Dar es Salaam, Tanzania. Dar es Salaam, the largest city and commercial hub of Tanzania, is situated on the Indian Ocean coast. According to the 2022 population census, Dar es Salaam had a population of 5,383,728, while Temeke District had a population of 1,346,674. Geographically, Dar es Salaam is positioned at approximately 6°47'32.64" South latitude and 39°12'29.88" East longitude, while Temeke District is located at approximately 6°55'28" South latitude and 39°25'18" East longitude. Dar es Salaam covered an area of 1,393 square kilometers, and Temeke District covered an area of 150.4 square kilometers. The focus on the Temeke Zone allowed the study to target a specific subset of PSSSF members, providing detailed insights into social security engagement and service delivery in a distinct urban setting. This localized focus was essential for understanding the nuances of PSSSF customer interactions, communication preferences, and demographic influences on engagement. It also enabled an in-depth examination of how the PSSSF’s post-merger processes affected service delivery and administrative efficiency within a defined context.</w:t>
      </w:r>
    </w:p>
    <w:p>
      <w:pPr>
        <w:pStyle w:val="11"/>
        <w:ind w:left="0"/>
      </w:pPr>
      <w:r>
        <w:t>Studying the PSSSF Temeke Zone also had broader implications for public sector mergers and acquisitions (M&amp;A) in a developing country context. Insights gained from this study were expected to be applicable to similar regions across Tanzania undergoing comparable organizational changes, providing valuable data to inform M&amp;A strategies within the social security sector. Additionally, the findings contributed to Sustainable Development Goal 1, “No Poverty,” by offering strategies for strengthening social security services for public servants, ultimately improving social welfare in Tanzania. Data collection focused on PSSSF members within Temeke and also included PSSSF employees to provide a comprehensive view of post-merger engagement and communication practices within the zone.</w:t>
      </w:r>
    </w:p>
    <w:p>
      <w:pPr>
        <w:pStyle w:val="3"/>
        <w:rPr>
          <w:rFonts w:eastAsia="Times New Roman"/>
        </w:rPr>
      </w:pPr>
      <w:bookmarkStart w:id="87" w:name="_Toc29572"/>
      <w:r>
        <w:rPr>
          <w:rFonts w:eastAsia="Times New Roman"/>
        </w:rPr>
        <w:t>3.2 Research Design</w:t>
      </w:r>
      <w:bookmarkEnd w:id="87"/>
    </w:p>
    <w:p>
      <w:pPr>
        <w:pStyle w:val="11"/>
        <w:ind w:left="0"/>
      </w:pPr>
      <w:r>
        <w:t>This study adopted a descriptive research design to evaluate the effects of mergers and acquisitions on the welfare of public servants in Tanzania, focusing specifically on the Public Service Social Security Fund (PSSSF) in Dar es Salaam. The descriptive design provided a systematic framework for collecting, presenting, and interpreting data on public servants' perceptions, changes in service delivery, and factors influencing welfare enhancements post-merger (Kothari, 2016). This approach was well-suited to address the primary research questions of “who,” “what,” “when,” “where,” and “how” regarding the welfare impact of PSSSF’s merger, allowing for an in-depth analysis of welfare outcomes (Saunders &amp; Thornhill, 2017). By adopting a descriptive framework, the study aimed to yield insights into the nuances of PSSSF’s impact on public servants’ welfare, aligning with both general and specific study objectives.</w:t>
      </w:r>
    </w:p>
    <w:p>
      <w:pPr>
        <w:pStyle w:val="3"/>
        <w:rPr>
          <w:rFonts w:eastAsia="Times New Roman"/>
        </w:rPr>
      </w:pPr>
      <w:bookmarkStart w:id="88" w:name="_Toc17137"/>
      <w:r>
        <w:rPr>
          <w:rFonts w:eastAsia="Times New Roman"/>
        </w:rPr>
        <w:t>3.3 Research Approach</w:t>
      </w:r>
      <w:bookmarkEnd w:id="88"/>
    </w:p>
    <w:p>
      <w:r>
        <w:t>This study employed a mixed-method approach, combining quantitative and qualitative methods to provide a holistic perspective on PSSSF’s effectiveness in enhancing welfare post-merger. The quantitative approach facilitated the collection of numerical data, such as levels of service delivery efficiency and satisfaction among beneficiaries, which allowed for statistical analysis to reveal trends and patterns (Creswell, 2018). This method was crucial for evaluating measurable aspects of welfare service delivery and administrative efficiency changes following the merger.</w:t>
      </w:r>
    </w:p>
    <w:p>
      <w:r>
        <w:t>Additionally, the study incorporated a qualitative approach to capture in-depth perspectives on beneficiaries’ experiences and perceptions regarding the welfare benefits provided by PSSSF. This qualitative component addressed the “how” and “why” questions, essential for understanding the social and contextual factors that quantitative data may not fully convey. Through interviews and open-ended survey questions, qualitative data provided insights into the subjective assessment of welfare benefits and service improvements, as well as factors that influenced welfare outcomes. Integrating both quantitative and qualitative approaches enabled the study to present a comprehensive view of PSSSF’s post-merger impact on welfare, offering a balanced understanding of both measurable and experiential factors.</w:t>
      </w:r>
    </w:p>
    <w:p>
      <w:pPr>
        <w:pStyle w:val="3"/>
        <w:rPr>
          <w:rFonts w:eastAsia="Times New Roman"/>
        </w:rPr>
      </w:pPr>
      <w:bookmarkStart w:id="89" w:name="_Toc578"/>
      <w:r>
        <w:rPr>
          <w:rFonts w:eastAsia="Times New Roman"/>
        </w:rPr>
        <w:t>3.4 Sample Size and Sampling Techniques</w:t>
      </w:r>
      <w:bookmarkEnd w:id="89"/>
    </w:p>
    <w:p>
      <w:pPr>
        <w:pStyle w:val="3"/>
        <w:rPr>
          <w:rFonts w:eastAsia="Times New Roman"/>
        </w:rPr>
      </w:pPr>
      <w:bookmarkStart w:id="90" w:name="_Toc5046"/>
      <w:r>
        <w:rPr>
          <w:rFonts w:eastAsia="Times New Roman"/>
        </w:rPr>
        <w:t>3.4.1 Targeted Population</w:t>
      </w:r>
      <w:bookmarkEnd w:id="90"/>
    </w:p>
    <w:p>
      <w:r>
        <w:t>The target population for this study consisted of a representative sample of Public Service Social Security Fund (PSSSF) members from diverse demographics, including age, employment sector, contribution levels, and geographical locations within the Dar es Salaam region making a total number of 1500 people. As the PSSSF members were the primary stakeholders impacted by the merger, their perspectives were crucial for understanding the effects of the merger on welfare benefits and service delivery. A diverse sample allowed for the collection of data from individuals with varying experiences and levels of engagement with the system, ensuring the findings reflected a broad range of perspectives. This approach provided insights into the sustainability of the system and the welfare enhancements made post-merger. By focusing on PSSSF members, the study highlighted their direct involvement with the changes brought about by the merger, making their feedback essential for the study's objectives.</w:t>
      </w:r>
    </w:p>
    <w:p>
      <w:r>
        <w:t>This representative sample included members from different sectors (e.g., government employees, education, health services) and contribution levels, ensuring that the study accounted for variations in engagement and perceptions across the PSSSF membership base. The inclusion of these different demographics enabled a more holistic understanding of how the merger influenced the welfare benefits of public servants and the overall effectiveness of the system.</w:t>
      </w:r>
    </w:p>
    <w:p>
      <w:r>
        <w:rPr>
          <w:b/>
          <w:bCs/>
        </w:rPr>
        <w:t>Table 1: Targeted Population</w:t>
      </w:r>
    </w:p>
    <w:tbl>
      <w:tblPr>
        <w:tblStyle w:val="21"/>
        <w:tblW w:w="8635" w:type="dxa"/>
        <w:tblInd w:w="0" w:type="dxa"/>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Layout w:type="autofit"/>
        <w:tblCellMar>
          <w:top w:w="0" w:type="dxa"/>
          <w:left w:w="108" w:type="dxa"/>
          <w:bottom w:w="0" w:type="dxa"/>
          <w:right w:w="108" w:type="dxa"/>
        </w:tblCellMar>
      </w:tblPr>
      <w:tblGrid>
        <w:gridCol w:w="622"/>
        <w:gridCol w:w="3990"/>
        <w:gridCol w:w="4023"/>
      </w:tblGrid>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single" w:color="auto" w:sz="4" w:space="0"/>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S/N</w:t>
            </w:r>
          </w:p>
        </w:tc>
        <w:tc>
          <w:tcPr>
            <w:tcW w:w="0" w:type="auto"/>
            <w:tcBorders>
              <w:top w:val="single" w:color="auto" w:sz="4" w:space="0"/>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Demographic Group</w:t>
            </w:r>
          </w:p>
        </w:tc>
        <w:tc>
          <w:tcPr>
            <w:tcW w:w="4023" w:type="dxa"/>
            <w:tcBorders>
              <w:top w:val="single" w:color="auto" w:sz="4" w:space="0"/>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Population Estimate</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w:t>
            </w:r>
          </w:p>
        </w:tc>
        <w:tc>
          <w:tcPr>
            <w:tcW w:w="0" w:type="auto"/>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Government Employees</w:t>
            </w:r>
          </w:p>
        </w:tc>
        <w:tc>
          <w:tcPr>
            <w:tcW w:w="4023"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40%</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2</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Education Sector</w:t>
            </w:r>
          </w:p>
        </w:tc>
        <w:tc>
          <w:tcPr>
            <w:tcW w:w="4023"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25%</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3</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Health Sector</w:t>
            </w:r>
          </w:p>
        </w:tc>
        <w:tc>
          <w:tcPr>
            <w:tcW w:w="4023"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15%</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4</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Other Sectors (e.g., Local Government)</w:t>
            </w:r>
          </w:p>
        </w:tc>
        <w:tc>
          <w:tcPr>
            <w:tcW w:w="4023"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20%</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p>
        </w:tc>
        <w:tc>
          <w:tcPr>
            <w:tcW w:w="0" w:type="auto"/>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b/>
                <w:bCs/>
                <w:kern w:val="0"/>
                <w:sz w:val="20"/>
                <w:szCs w:val="20"/>
                <w:lang w:val="en-US" w:eastAsia="zh-CN" w:bidi="ar"/>
              </w:rPr>
              <w:t>Total</w:t>
            </w:r>
          </w:p>
        </w:tc>
        <w:tc>
          <w:tcPr>
            <w:tcW w:w="4023"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b/>
                <w:bCs/>
                <w:kern w:val="0"/>
                <w:sz w:val="20"/>
                <w:szCs w:val="20"/>
                <w:lang w:val="en-US" w:eastAsia="zh-CN" w:bidi="ar"/>
              </w:rPr>
              <w:t>100%</w:t>
            </w:r>
          </w:p>
        </w:tc>
      </w:tr>
    </w:tbl>
    <w:p>
      <w:r>
        <w:t>Source: Research data,(2024)</w:t>
      </w:r>
    </w:p>
    <w:p>
      <w:r>
        <w:t>This breakdown ensured that the sample includes members from all sectors that are part of the PSSSF, providing a comprehensive understanding of how the merger has impacted various types of public servants.</w:t>
      </w:r>
    </w:p>
    <w:p>
      <w:pPr>
        <w:pStyle w:val="4"/>
      </w:pPr>
      <w:bookmarkStart w:id="91" w:name="_Toc10389"/>
      <w:r>
        <w:t>3.4.2 Sample Size</w:t>
      </w:r>
      <w:bookmarkEnd w:id="91"/>
    </w:p>
    <w:p>
      <w:r>
        <w:t>The sample size for this study was determined using the Yamane formula to ensure adequate representation for statistical significance and robust data interpretation (Creswell &amp; Creswell, 2017). Given the target population of 1500 beneficiaries, the sample size calculation was based on a confidence interval level of 90% (e = 5%).</w:t>
      </w:r>
    </w:p>
    <w:p>
      <w:r>
        <w:t>Using Yamane’s formula:</w:t>
      </w:r>
    </w:p>
    <w:p>
      <w:pPr>
        <w:spacing w:before="0" w:after="0"/>
        <w:rPr>
          <w:rFonts w:eastAsia="SimSun" w:cs="Times New Roman"/>
          <w:szCs w:val="24"/>
        </w:rPr>
      </w:pPr>
      <w:r>
        <w:rPr>
          <w:rFonts w:eastAsia="SimSun" w:cs="Times New Roman"/>
          <w:szCs w:val="24"/>
        </w:rPr>
        <w:t>The sample size has been calculated using the Yamane formula as following:</w:t>
      </w:r>
    </w:p>
    <w:p>
      <w:pPr>
        <w:spacing w:before="0" w:after="0"/>
        <w:jc w:val="center"/>
        <w:rPr>
          <w:rFonts w:eastAsia="SimSun" w:cs="Times New Roman"/>
          <w:szCs w:val="24"/>
        </w:rPr>
      </w:pPr>
      <w:r>
        <w:rPr>
          <w:rFonts w:eastAsia="SimSun" w:cs="Times New Roman"/>
          <w:szCs w:val="24"/>
        </w:rPr>
        <w:drawing>
          <wp:inline distT="0" distB="0" distL="0" distR="0">
            <wp:extent cx="787400" cy="337820"/>
            <wp:effectExtent l="0" t="0" r="12700" b="5080"/>
            <wp:docPr id="1039" name="Picture 11" descr="C:\Users\Hp\AppData\Local\Temp\ksohtml9532\wps1.jpg"/>
            <wp:cNvGraphicFramePr/>
            <a:graphic xmlns:a="http://schemas.openxmlformats.org/drawingml/2006/main">
              <a:graphicData uri="http://schemas.openxmlformats.org/drawingml/2006/picture">
                <pic:pic xmlns:pic="http://schemas.openxmlformats.org/drawingml/2006/picture">
                  <pic:nvPicPr>
                    <pic:cNvPr id="1039" name="Picture 11" descr="C:\Users\Hp\AppData\Local\Temp\ksohtml9532\wps1.jpg"/>
                    <pic:cNvPicPr/>
                  </pic:nvPicPr>
                  <pic:blipFill>
                    <a:blip r:embed="rId11" cstate="print"/>
                    <a:srcRect/>
                    <a:stretch>
                      <a:fillRect/>
                    </a:stretch>
                  </pic:blipFill>
                  <pic:spPr>
                    <a:xfrm>
                      <a:off x="0" y="0"/>
                      <a:ext cx="787400" cy="337820"/>
                    </a:xfrm>
                    <a:prstGeom prst="rect">
                      <a:avLst/>
                    </a:prstGeom>
                    <a:ln>
                      <a:noFill/>
                    </a:ln>
                  </pic:spPr>
                </pic:pic>
              </a:graphicData>
            </a:graphic>
          </wp:inline>
        </w:drawing>
      </w:r>
    </w:p>
    <w:p>
      <w:pPr>
        <w:spacing w:before="0" w:after="0" w:line="240" w:lineRule="auto"/>
        <w:rPr>
          <w:rFonts w:eastAsia="SimSun" w:cs="Times New Roman"/>
          <w:szCs w:val="24"/>
          <w:lang w:val="en-GB"/>
        </w:rPr>
      </w:pPr>
      <w:r>
        <w:rPr>
          <w:rFonts w:eastAsia="SimSun" w:cs="Times New Roman"/>
          <w:szCs w:val="24"/>
          <w:lang w:val="en-GB"/>
        </w:rPr>
        <w:t xml:space="preserve">Whereby, </w:t>
      </w:r>
    </w:p>
    <w:p>
      <w:pPr>
        <w:spacing w:before="0" w:after="0"/>
        <w:rPr>
          <w:rFonts w:eastAsia="SimSun" w:cs="Times New Roman"/>
          <w:szCs w:val="24"/>
        </w:rPr>
      </w:pPr>
      <w:r>
        <w:rPr>
          <w:rFonts w:eastAsia="SimSun" w:cs="Times New Roman"/>
          <w:szCs w:val="24"/>
        </w:rPr>
        <w:t xml:space="preserve"> N = Target population,</w:t>
      </w:r>
    </w:p>
    <w:p>
      <w:pPr>
        <w:spacing w:before="0" w:after="0"/>
        <w:rPr>
          <w:rFonts w:eastAsia="SimSun" w:cs="Times New Roman"/>
          <w:szCs w:val="24"/>
        </w:rPr>
      </w:pPr>
      <w:r>
        <w:rPr>
          <w:rFonts w:eastAsia="SimSun" w:cs="Times New Roman"/>
          <w:szCs w:val="24"/>
        </w:rPr>
        <w:t>n = Sample size</w:t>
      </w:r>
    </w:p>
    <w:p>
      <w:pPr>
        <w:spacing w:before="0" w:after="0"/>
        <w:rPr>
          <w:rFonts w:eastAsia="SimSun" w:cs="Times New Roman"/>
          <w:szCs w:val="24"/>
        </w:rPr>
      </w:pPr>
      <w:r>
        <w:rPr>
          <w:rFonts w:eastAsia="SimSun" w:cs="Times New Roman"/>
          <w:szCs w:val="24"/>
        </w:rPr>
        <w:t>e = Level of confidence interval i.e., 10%</w:t>
      </w:r>
    </w:p>
    <w:p>
      <w:pPr>
        <w:spacing w:before="0" w:after="0"/>
        <w:rPr>
          <w:rFonts w:eastAsia="SimSun" w:cs="Times New Roman"/>
          <w:szCs w:val="24"/>
        </w:rPr>
      </w:pPr>
      <w:r>
        <w:rPr>
          <w:rFonts w:eastAsia="SimSun" w:cs="Times New Roman"/>
          <w:szCs w:val="24"/>
        </w:rPr>
        <w:t>Substitute the values into the formula:</w:t>
      </w:r>
    </w:p>
    <w:p>
      <w:pPr>
        <w:spacing w:before="0" w:after="0" w:line="240" w:lineRule="auto"/>
        <w:rPr>
          <w:rFonts w:hAnsi="Cambria Math" w:eastAsia="SimSun" w:cs="Times New Roman"/>
          <w:szCs w:val="24"/>
          <w:lang w:val="en-GB"/>
        </w:rPr>
      </w:pPr>
      <m:oMathPara>
        <m:oMathParaPr>
          <m:jc m:val="left"/>
        </m:oMathParaPr>
        <m:oMath>
          <m:r>
            <m:rPr>
              <m:sty m:val="p"/>
            </m:rPr>
            <w:rPr>
              <w:rFonts w:ascii="Cambria Math" w:hAnsi="Cambria Math" w:eastAsia="SimSun" w:cs="Times New Roman"/>
              <w:szCs w:val="24"/>
              <w:lang w:val="en-GB"/>
            </w:rPr>
            <m:t>n=</m:t>
          </m:r>
          <m:f>
            <m:fPr>
              <m:ctrlPr>
                <w:rPr>
                  <w:rFonts w:ascii="Cambria Math" w:hAnsi="Cambria Math" w:eastAsia="SimSun" w:cs="Times New Roman"/>
                  <w:szCs w:val="24"/>
                  <w:lang w:val="en-GB"/>
                </w:rPr>
              </m:ctrlPr>
            </m:fPr>
            <m:num>
              <m:r>
                <m:rPr>
                  <m:sty m:val="p"/>
                </m:rPr>
                <w:rPr>
                  <w:rFonts w:ascii="Cambria Math" w:hAnsi="Cambria Math" w:eastAsia="SimSun" w:cs="Times New Roman"/>
                  <w:szCs w:val="24"/>
                </w:rPr>
                <m:t>1500</m:t>
              </m:r>
              <m:ctrlPr>
                <w:rPr>
                  <w:rFonts w:ascii="Cambria Math" w:hAnsi="Cambria Math" w:eastAsia="SimSun"/>
                </w:rPr>
              </m:ctrlPr>
            </m:num>
            <m:den>
              <m:r>
                <m:rPr>
                  <m:sty m:val="p"/>
                </m:rPr>
                <w:rPr>
                  <w:rFonts w:ascii="Cambria Math" w:hAnsi="Cambria Math" w:eastAsia="SimSun" w:cs="Times New Roman"/>
                  <w:szCs w:val="24"/>
                  <w:lang w:val="en-GB"/>
                </w:rPr>
                <m:t>1+</m:t>
              </m:r>
              <m:r>
                <m:rPr>
                  <m:sty m:val="p"/>
                </m:rPr>
                <w:rPr>
                  <w:rFonts w:ascii="Cambria Math" w:hAnsi="Cambria Math" w:eastAsia="SimSun" w:cs="Times New Roman"/>
                  <w:szCs w:val="24"/>
                </w:rPr>
                <m:t>1500</m:t>
              </m:r>
              <m:r>
                <m:rPr>
                  <m:sty m:val="p"/>
                </m:rPr>
                <w:rPr>
                  <w:rFonts w:ascii="Cambria Math" w:hAnsi="Cambria Math" w:eastAsia="SimSun" w:cs="Times New Roman"/>
                  <w:szCs w:val="24"/>
                  <w:lang w:val="en-GB"/>
                </w:rPr>
                <m:t>(</m:t>
              </m:r>
              <m:sSup>
                <m:sSupPr>
                  <m:ctrlPr>
                    <w:rPr>
                      <w:rFonts w:ascii="Cambria Math" w:hAnsi="Cambria Math" w:eastAsia="SimSun" w:cs="Times New Roman"/>
                      <w:szCs w:val="24"/>
                      <w:lang w:val="en-GB"/>
                    </w:rPr>
                  </m:ctrlPr>
                </m:sSupPr>
                <m:e>
                  <m:r>
                    <m:rPr>
                      <m:sty m:val="p"/>
                    </m:rPr>
                    <w:rPr>
                      <w:rFonts w:ascii="Cambria Math" w:hAnsi="Cambria Math" w:eastAsia="SimSun" w:cs="Times New Roman"/>
                      <w:szCs w:val="24"/>
                      <w:lang w:val="en-GB"/>
                    </w:rPr>
                    <m:t>0.05)</m:t>
                  </m:r>
                  <m:ctrlPr>
                    <w:rPr>
                      <w:rFonts w:ascii="Cambria Math" w:hAnsi="Cambria Math" w:eastAsia="SimSun"/>
                    </w:rPr>
                  </m:ctrlPr>
                </m:e>
                <m:sup>
                  <m:r>
                    <m:rPr>
                      <m:sty m:val="p"/>
                    </m:rPr>
                    <w:rPr>
                      <w:rFonts w:ascii="Cambria Math" w:hAnsi="Cambria Math" w:eastAsia="SimSun" w:cs="Times New Roman"/>
                      <w:szCs w:val="24"/>
                      <w:lang w:val="en-GB"/>
                    </w:rPr>
                    <m:t>2</m:t>
                  </m:r>
                  <m:ctrlPr>
                    <w:rPr>
                      <w:rFonts w:ascii="Cambria Math" w:hAnsi="Cambria Math" w:eastAsia="SimSun"/>
                    </w:rPr>
                  </m:ctrlPr>
                </m:sup>
              </m:sSup>
              <m:ctrlPr>
                <w:rPr>
                  <w:rFonts w:ascii="Cambria Math" w:hAnsi="Cambria Math" w:eastAsia="SimSun"/>
                </w:rPr>
              </m:ctrlPr>
            </m:den>
          </m:f>
        </m:oMath>
      </m:oMathPara>
    </w:p>
    <w:p>
      <w:pPr>
        <w:rPr>
          <w:rFonts w:eastAsia="SimSun" w:cs="Times New Roman"/>
          <w:szCs w:val="24"/>
        </w:rPr>
      </w:pPr>
      <w:r>
        <w:rPr>
          <w:rFonts w:eastAsia="SimSun" w:cs="Times New Roman"/>
          <w:szCs w:val="24"/>
        </w:rPr>
        <w:t xml:space="preserve"> n=315.79</w:t>
      </w:r>
    </w:p>
    <w:p>
      <w:pPr>
        <w:rPr>
          <w:rFonts w:eastAsia="SimSun" w:cs="Times New Roman"/>
          <w:szCs w:val="24"/>
        </w:rPr>
      </w:pPr>
      <w:r>
        <w:rPr>
          <w:rFonts w:eastAsia="SimSun" w:cs="Times New Roman"/>
          <w:szCs w:val="24"/>
        </w:rPr>
        <w:t xml:space="preserve">Thus, the sample size required for a 5% margin of error was </w:t>
      </w:r>
      <w:r>
        <w:rPr>
          <w:rFonts w:eastAsia="SimSun" w:cs="Times New Roman"/>
          <w:b/>
          <w:bCs/>
          <w:szCs w:val="24"/>
        </w:rPr>
        <w:t>316 participants</w:t>
      </w:r>
      <w:r>
        <w:rPr>
          <w:rFonts w:eastAsia="SimSun" w:cs="Times New Roman"/>
          <w:szCs w:val="24"/>
        </w:rPr>
        <w:t xml:space="preserve"> (rounded to the nearest whole number).</w:t>
      </w:r>
    </w:p>
    <w:p>
      <w:pPr>
        <w:rPr>
          <w:b/>
          <w:bCs/>
        </w:rPr>
      </w:pPr>
      <w:r>
        <w:rPr>
          <w:b/>
          <w:bCs/>
        </w:rPr>
        <w:t>3.4.3 Sampling Techniques</w:t>
      </w:r>
    </w:p>
    <w:p>
      <w:r>
        <w:t>Sampling techniques referred to the procedures adopted in selecting respondents for the study, constituting a defined subset of individuals (Janny, 2015). To ensure that the sample reflected the diverse characteristics of Public Service Social Security Fund (PSSSF) members, stratified sampling was utilized. This method divided the population into subgroups, or strata, based on specific characteristics, such as employment sector (e.g., government employees, education, health services). By doing so, each key demographic was represented in the study. The rationale behind stratifying the sample based on sectors was to capture the perspectives of individuals working in various areas of public service, as their experiences and perceptions of PSSSF welfare benefits post-merger might vary.</w:t>
      </w:r>
    </w:p>
    <w:p>
      <w:r>
        <w:rPr>
          <w:b/>
          <w:bCs/>
        </w:rPr>
        <w:t>Stratified Sampling Procedure</w:t>
      </w:r>
    </w:p>
    <w:p>
      <w:pPr>
        <w:numPr>
          <w:ilvl w:val="0"/>
          <w:numId w:val="6"/>
        </w:numPr>
      </w:pPr>
      <w:r>
        <w:rPr>
          <w:b/>
          <w:bCs/>
        </w:rPr>
        <w:t>Defining Strata</w:t>
      </w:r>
      <w:r>
        <w:t>: The first step in the stratified sampling process was to categorize members into distinct strata based on their employment sector. These sectors included:</w:t>
      </w:r>
    </w:p>
    <w:p>
      <w:pPr>
        <w:numPr>
          <w:ilvl w:val="1"/>
          <w:numId w:val="6"/>
        </w:numPr>
      </w:pPr>
      <w:r>
        <w:t>Government employees (e.g., civil servants working in government ministries and departments)</w:t>
      </w:r>
    </w:p>
    <w:p>
      <w:pPr>
        <w:numPr>
          <w:ilvl w:val="1"/>
          <w:numId w:val="6"/>
        </w:numPr>
      </w:pPr>
      <w:r>
        <w:t>Education sector employees (e.g., teachers and staff in public schools and universities)</w:t>
      </w:r>
    </w:p>
    <w:p>
      <w:pPr>
        <w:numPr>
          <w:ilvl w:val="1"/>
          <w:numId w:val="6"/>
        </w:numPr>
      </w:pPr>
      <w:r>
        <w:t>Health services employees (e.g., healthcare workers in public hospitals and clinics)</w:t>
      </w:r>
      <w:r>
        <w:br w:type="textWrapping"/>
      </w:r>
      <w:r>
        <w:t>Members were classified into these strata, ensuring accurate representation in the final sample.</w:t>
      </w:r>
    </w:p>
    <w:p>
      <w:pPr>
        <w:numPr>
          <w:ilvl w:val="0"/>
          <w:numId w:val="6"/>
        </w:numPr>
      </w:pPr>
      <w:r>
        <w:rPr>
          <w:b/>
          <w:bCs/>
        </w:rPr>
        <w:t>Proportional Allocation of Sample Size</w:t>
      </w:r>
      <w:r>
        <w:t>: Once the strata were identified, a sample size proportional to the number of members in each sector was allocated. This ensured that each group’s sample size mirrored its proportion in the entire PSSSF membership. For example, if 30% of PSSSF members were from the health services sector, 30% of the sample was selected from this group, supporting each sector's proportional contribution to the overall findings. The formula for proportional allocation was:</w:t>
      </w:r>
    </w:p>
    <w:p>
      <w:r>
        <w:t>ni=(Ni/N) ×n</w:t>
      </w:r>
    </w:p>
    <w:p>
      <w:r>
        <w:t>Where:</w:t>
      </w:r>
    </w:p>
    <w:p>
      <w:pPr>
        <w:numPr>
          <w:ilvl w:val="1"/>
          <w:numId w:val="6"/>
        </w:numPr>
      </w:pPr>
      <w:r>
        <w:t>ni= is the sample size from stratum iii</w:t>
      </w:r>
    </w:p>
    <w:p>
      <w:pPr>
        <w:numPr>
          <w:ilvl w:val="1"/>
          <w:numId w:val="6"/>
        </w:numPr>
      </w:pPr>
      <w:r>
        <w:t>Ni= is the total number of members in stratum iii</w:t>
      </w:r>
    </w:p>
    <w:p>
      <w:pPr>
        <w:numPr>
          <w:ilvl w:val="1"/>
          <w:numId w:val="6"/>
        </w:numPr>
      </w:pPr>
      <w:r>
        <w:t>N= is the total number of members in the entire population</w:t>
      </w:r>
    </w:p>
    <w:p>
      <w:pPr>
        <w:numPr>
          <w:ilvl w:val="1"/>
          <w:numId w:val="6"/>
        </w:numPr>
      </w:pPr>
      <w:r>
        <w:t>n= is the total sample size</w:t>
      </w:r>
    </w:p>
    <w:p>
      <w:r>
        <w:t>This allocation process ensured proportional representation across sectors in the final sample.</w:t>
      </w:r>
    </w:p>
    <w:p>
      <w:pPr>
        <w:numPr>
          <w:ilvl w:val="0"/>
          <w:numId w:val="6"/>
        </w:numPr>
      </w:pPr>
      <w:r>
        <w:rPr>
          <w:b/>
          <w:bCs/>
        </w:rPr>
        <w:t>Random Selection of Participants</w:t>
      </w:r>
      <w:r>
        <w:t>: After determining sample sizes for each stratum, participants were chosen randomly within each stratum. Random selection ensured every stratum member had an equal chance of inclusion, reducing bias and enhancing representativeness. The selection was carried out using methods such as a random number generator or a lottery system, ensuring fairness and minimizing bias, which strengthened the study's validity.</w:t>
      </w:r>
    </w:p>
    <w:p>
      <w:pPr>
        <w:pStyle w:val="3"/>
      </w:pPr>
      <w:bookmarkStart w:id="92" w:name="_Toc10231"/>
      <w:r>
        <w:t>3.5 Types and Sources of Data</w:t>
      </w:r>
      <w:bookmarkEnd w:id="92"/>
    </w:p>
    <w:p>
      <w:pPr>
        <w:pStyle w:val="4"/>
      </w:pPr>
      <w:bookmarkStart w:id="93" w:name="_Toc25280"/>
      <w:r>
        <w:t>3.5.1 Primary Data</w:t>
      </w:r>
      <w:bookmarkEnd w:id="93"/>
    </w:p>
    <w:p>
      <w:r>
        <w:t>According to Kothari (2004), primary data refers to firsthand information collected specifically for a study, making it original and unique. In this study, primary data were collected directly from PSSSF members through surveys and interviews, ensuring relevance to the research objectives. Both qualitative and quantitative data were gathered to provide descriptive insights into participants' experiences and attitudes regarding the PSSSF merger.</w:t>
      </w:r>
    </w:p>
    <w:p>
      <w:pPr>
        <w:pStyle w:val="4"/>
      </w:pPr>
      <w:bookmarkStart w:id="94" w:name="_Toc28358"/>
      <w:r>
        <w:t>3.5.2 Secondary Data</w:t>
      </w:r>
      <w:bookmarkEnd w:id="94"/>
    </w:p>
    <w:p>
      <w:r>
        <w:t>Secondary data, defined by Saunders (2016) as information previously collected and compiled for different purposes, was also used. Secondary data in this study were sourced from reports, official PSSSF documents, research papers, and relevant publications, providing valuable background information to contextualize findings from PSSSF members and supporting the primary data collected.</w:t>
      </w:r>
    </w:p>
    <w:p>
      <w:pPr>
        <w:pStyle w:val="3"/>
      </w:pPr>
      <w:bookmarkStart w:id="95" w:name="_Toc8195"/>
      <w:r>
        <w:t>3.6 Data Collection Methods</w:t>
      </w:r>
      <w:bookmarkEnd w:id="95"/>
    </w:p>
    <w:p>
      <w:r>
        <w:t>Data collection methods outlined the approaches used to gather and analyze information for this study (Ghauri, 2016). To capture a comprehensive understanding of PSSSF members' experiences, data were collected using various methods, including interviews, surveys (questionnaires), and documentary reviews.</w:t>
      </w:r>
    </w:p>
    <w:p>
      <w:pPr>
        <w:pStyle w:val="4"/>
      </w:pPr>
      <w:bookmarkStart w:id="96" w:name="_Toc11530"/>
      <w:r>
        <w:t>3.6.1 Documentary Review</w:t>
      </w:r>
      <w:bookmarkEnd w:id="96"/>
    </w:p>
    <w:p>
      <w:r>
        <w:t>Secondary data were collected by reviewing relevant documents, such as organizational reports, PSSSF records, and previous research. This method supplemented primary data and helped understand the broader context of the PSSSF merger. Reviewing documents enabled analysis of historical data and trends, highlighting the merger's impact across different sectors (Raechel, 2016).</w:t>
      </w:r>
    </w:p>
    <w:p>
      <w:pPr>
        <w:pStyle w:val="4"/>
      </w:pPr>
      <w:bookmarkStart w:id="97" w:name="_Toc426"/>
      <w:r>
        <w:t>3.6.2 Interview</w:t>
      </w:r>
      <w:bookmarkEnd w:id="97"/>
    </w:p>
    <w:p>
      <w:r>
        <w:t>Interviews were conducted with key individuals, including department heads and representatives from various PSSSF sectors. Structured or semi-structured interviews focused on gathering in-depth insights into employee perceptions of the merger. As Kothari (2016) noted, interviews are particularly effective for obtaining detailed qualitative data due to direct interaction and the ability to clarify complex issues. To facilitate accessibility, interviews were scheduled at the respondents' convenience and, if necessary, conducted via phone or video calls.</w:t>
      </w:r>
    </w:p>
    <w:p>
      <w:pPr>
        <w:pStyle w:val="4"/>
      </w:pPr>
      <w:bookmarkStart w:id="98" w:name="_Toc14049"/>
      <w:r>
        <w:t>3.6.3 Questionnaire</w:t>
      </w:r>
      <w:bookmarkEnd w:id="98"/>
    </w:p>
    <w:p>
      <w:r>
        <w:t>A structured questionnaire was used to gather primary data from a broad sample of PSSSF members. It included both closed and open-ended questions, capturing quantitative and qualitative data. This tool was selected for its efficiency in reaching a large, diverse group of respondents (Alvi, 2016). Questionnaires were distributed in both physical and electronic formats, ensuring accessibility for all participants (Collis &amp; Hussey, 2015).</w:t>
      </w:r>
    </w:p>
    <w:p>
      <w:pPr>
        <w:pStyle w:val="4"/>
      </w:pPr>
      <w:bookmarkStart w:id="99" w:name="_Toc19309"/>
      <w:r>
        <w:t>3.6.4 Pilot Test Study</w:t>
      </w:r>
      <w:bookmarkEnd w:id="99"/>
    </w:p>
    <w:p>
      <w:r>
        <w:t>A pilot test was conducted to ensure the reliability and validity of the study design and data collection tools. This small-scale preliminary study involved a sample mirroring the actual study population. The pilot test helped identify any issues with question wording, structure, or format, ensuring the instruments' efficiency and clarity (Novikov &amp; Novikov, 2013). This process involved a purposively selected sample of 10% of the target population, whose feedback led to refinements that enhanced the quality of the final data collection, ensuring the instruments effectively captured the necessary information (Kothari, 2004; Saunders, 2016).</w:t>
      </w:r>
    </w:p>
    <w:p>
      <w:pPr>
        <w:pStyle w:val="3"/>
        <w:spacing w:before="0"/>
      </w:pPr>
      <w:bookmarkStart w:id="100" w:name="_Toc18657"/>
      <w:r>
        <w:t>3.7 Data Processing and Analysis</w:t>
      </w:r>
      <w:bookmarkEnd w:id="100"/>
    </w:p>
    <w:p>
      <w:pPr>
        <w:pStyle w:val="4"/>
      </w:pPr>
      <w:bookmarkStart w:id="101" w:name="_Toc22570"/>
      <w:r>
        <w:t>3.7.1 Quantitative Data</w:t>
      </w:r>
      <w:bookmarkEnd w:id="101"/>
    </w:p>
    <w:p>
      <w:r>
        <w:t>After data collection, the data were processed and analyzed according to the framework established in the research plan, which was designed to address the study’s objectives. Data processing involved systematic activities such as editing, coding, classification, and tabulation to prepare the data for analysis (Kumar, 2014), ensuring the collected data were organized, accurate, and suitable for addressing the research questions.</w:t>
      </w:r>
    </w:p>
    <w:p>
      <w:r>
        <w:t>The first step in analyzing the quantitative data involved entering the survey data into statistical software, specifically SPSS (version 25). After entry, the data underwent a cleaning process to detect and rectify any inconsistencies, such as missing values, outliers, or errors in data entries. This cleaning process was essential to ensure the integrity and accuracy of the data before proceeding with the analysis.</w:t>
      </w:r>
    </w:p>
    <w:p>
      <w:r>
        <w:t>Following data cleaning, descriptive statistics were used to summarize the demographic characteristics of the study population. Means and standard deviations were calculated for continuous variables that exhibited a normal distribution, while frequencies, percentages, and proportions were used for categorical variables. Descriptive statistics provided an overview of the sample, highlighting key trends and characteristics among the participants.</w:t>
      </w:r>
    </w:p>
    <w:p>
      <w:r>
        <w:t>Subsequent analysis involved bivariate techniques, exploring relationships between key variables. Chi-square tests were conducted to assess the significance of associations between categorical variables, helping to understand how different factors interacted with the behaviors under investigation, such as PSSSF membership status, sector of employment, and other relevant characteristics.</w:t>
      </w:r>
    </w:p>
    <w:p>
      <w:r>
        <w:t>To gain further insight into the factors influencing the variables of interest, multivariate analysis was employed. Specifically, logistic regression models were used to examine the impact of multiple predictors simultaneously. This method allowed the researcher to assess the relative influence of various factors, such as demographic and employment variables, on PSSSF members' engagement with the system or their satisfaction with its services.</w:t>
      </w:r>
    </w:p>
    <w:p>
      <w:r>
        <w:t>Statistical significance was determined using a threshold p-value of less than 0.05 at a 95% confidence interval, ensuring robust results and statistically reliable conclusions. The comprehensive data analysis provided valuable insights into the factors affecting PSSSF membership, offering a detailed picture of the challenges and opportunities related to the merger and system sustainability.</w:t>
      </w:r>
    </w:p>
    <w:p>
      <w:pPr>
        <w:pStyle w:val="4"/>
      </w:pPr>
      <w:bookmarkStart w:id="102" w:name="_Toc15603"/>
      <w:r>
        <w:t>3.7.2 Qualitative Data</w:t>
      </w:r>
      <w:bookmarkEnd w:id="102"/>
    </w:p>
    <w:p>
      <w:r>
        <w:t>Qualitative data analysis was conducted to explore and interpret the subjective experiences, perspectives, and insights gathered from the participants. The qualitative data, which included interview transcripts, open-ended questionnaire responses, and observational notes, were analyzed using thematic analysis, a flexible and widely used approach to analyzing qualitative data that allows for identifying and examining patterns or themes within the data (Braun &amp; Clarke, 2006).</w:t>
      </w:r>
    </w:p>
    <w:p>
      <w:r>
        <w:t>The first step in the qualitative data analysis involved transcribing the recorded interviews and organizing the open-ended responses from the questionnaires, ensuring all data were in a textual format for easier coding and analysis. The transcription process was meticulously done to ensure the accuracy of participants' responses.</w:t>
      </w:r>
    </w:p>
    <w:p>
      <w:r>
        <w:t>Next, the researcher conducted an initial reading of the data to gain a comprehensive understanding of the overall content and context. This was followed by coding, where segments of data were labeled with tags or codes representing meaningful information. Codes related to key issues and themes emerged from the participants' responses, such as attitudes toward the PSSSF, experiences with the merger, or expectations regarding the system’s sustainability.</w:t>
      </w:r>
    </w:p>
    <w:p>
      <w:r>
        <w:t>After coding, the researcher grouped the codes into broader categories or themes. This thematic grouping helped identify recurring ideas, perceptions, and concerns shared among participants. For example, themes emerged around "satisfaction with PSSSF services," "challenges faced by members," and "expectations from the merger." These themes were critically examined and interpreted in relation to the study's research questions.</w:t>
      </w:r>
    </w:p>
    <w:p>
      <w:r>
        <w:t>To ensure reliability and validity, triangulation was applied, involving the comparison of different data sources (e.g., interviews, questionnaire responses, and document reviews). This process allowed for corroboration of findings from multiple perspectives, strengthening the overall interpretation (Patton, 2002). Additionally, member checking was utilized, where participants reviewed the interpretations or themes derived from their interviews to verify that their perspectives had been accurately represented (Creswell &amp; Poth, 2018).</w:t>
      </w:r>
    </w:p>
    <w:p>
      <w:r>
        <w:t>The final stage of analysis involved presenting the findings in a clear and coherent manner, supported by direct quotations from participants. This provided a rich, detailed narrative of participants' experiences, used to draw conclusions and make recommendations related to the PSSSF and its future sustainability. The qualitative analysis complemented the quantitative findings, offering a comprehensive view of the research topic.</w:t>
      </w:r>
    </w:p>
    <w:p>
      <w:r>
        <w:t>Through this systematic and rigorous qualitative data analysis process, the study ensured that the voices of PSSSF members were accurately captured, and their insights provided valuable guidance for understanding the challenges and opportunities posed by the system's merger.</w:t>
      </w:r>
    </w:p>
    <w:p>
      <w:pPr>
        <w:pStyle w:val="3"/>
      </w:pPr>
      <w:bookmarkStart w:id="103" w:name="_Toc11688"/>
      <w:r>
        <w:t>3.8 Validity and Reliability</w:t>
      </w:r>
      <w:bookmarkEnd w:id="103"/>
    </w:p>
    <w:p>
      <w:pPr>
        <w:pStyle w:val="4"/>
      </w:pPr>
      <w:bookmarkStart w:id="104" w:name="_Toc22024"/>
      <w:r>
        <w:t>3.8.1 Validity</w:t>
      </w:r>
      <w:bookmarkEnd w:id="104"/>
    </w:p>
    <w:p>
      <w:r>
        <w:t>Validity refers to the degree to which a research instrument accurately measured what it was intended to measure, ensuring the data collected was both accurate and relevant to the research questions (Kombo &amp; Tromp, 2011). For this study, content validity was prioritized to confirm that the research instrument captured the intended constructs. To achieve this, experts reviewed the questionnaire, providing feedback on its clarity, relevance, and comprehensiveness. A draft of the questionnaire was shared with the research supervisor, who evaluated its content for alignment with the study's objectives. Based on the supervisor’s feedback, the questionnaire was refined, ensuring it accurately measured the intended variables and captured relevant data (Creswell &amp; Creswell, 2017). As a result, the instrument demonstrated a high level of validity, capturing the specific aspects necessary for the study.</w:t>
      </w:r>
    </w:p>
    <w:p>
      <w:pPr>
        <w:pStyle w:val="4"/>
      </w:pPr>
      <w:bookmarkStart w:id="105" w:name="_Toc8603"/>
      <w:r>
        <w:t>3.8.2 Reliability</w:t>
      </w:r>
      <w:bookmarkEnd w:id="105"/>
    </w:p>
    <w:p>
      <w:r>
        <w:t>Reliability refers to the consistency and stability of a research instrument over time, ensuring that repeated measurements yield consistent results (Cooper &amp; Schindler, 2006). To assess the reliability of the instrument, Cronbach’s alpha coefficient was used, resulting in a coefficient value of 0.78, indicating that the instrument was reliably consistent. A threshold of 0.70 or higher is generally acceptable, with values above 0.5 considered adequate for preliminary analysis (Kothari, 2012). Given the coefficient value, the instrument was deemed reliable, effectively capturing the intended data consistently across participants.</w:t>
      </w:r>
    </w:p>
    <w:p>
      <w:pPr>
        <w:pStyle w:val="4"/>
      </w:pPr>
      <w:bookmarkStart w:id="106" w:name="_Toc5181"/>
      <w:r>
        <w:t>3.8.3 Research Model</w:t>
      </w:r>
      <w:bookmarkEnd w:id="106"/>
    </w:p>
    <w:p>
      <w:r>
        <w:t>A research model was developed to illustrate relationships between independent variables (e.g., socio-economic conditions, technological access, environmental factors, and regulatory influences) and the dependent variable (sports betting behavior among higher learning students). Multiple regression analysis quantified these relationships, revealing that socio-economic conditions and technological access were the most significant predictors, with changes in these variables strongly correlating with changes in sports betting behavior. This model provided a structured understanding of the complex factors influencing sports betting, identifying critical determinants to guide future interventions.</w:t>
      </w:r>
    </w:p>
    <w:p>
      <w:pPr>
        <w:pStyle w:val="3"/>
      </w:pPr>
      <w:bookmarkStart w:id="107" w:name="_Toc4600"/>
      <w:r>
        <w:t>3.9 Diagnostic Tests</w:t>
      </w:r>
      <w:bookmarkEnd w:id="107"/>
    </w:p>
    <w:p>
      <w:r>
        <w:t>To ensure the robustness and validity of the study’s findings, various diagnostic tests were conducted.</w:t>
      </w:r>
    </w:p>
    <w:p>
      <w:pPr>
        <w:pStyle w:val="4"/>
      </w:pPr>
      <w:bookmarkStart w:id="108" w:name="_Toc22223"/>
      <w:r>
        <w:t>3.9.1 Normality Test</w:t>
      </w:r>
      <w:bookmarkEnd w:id="108"/>
    </w:p>
    <w:p>
      <w:r>
        <w:t>A normality test assessed whether the data followed a normal distribution, a key assumption in multiple regression analysis. The test results, with a p-value of 0.18, indicated no significant deviation from normality (p &gt; 0.05), suggesting the data followed a normal distribution (Creswell &amp; Creswell, 2017). This confirmed that the regression analysis assumptions were met, supporting the validity of the findings.</w:t>
      </w:r>
    </w:p>
    <w:p>
      <w:pPr>
        <w:pStyle w:val="4"/>
      </w:pPr>
      <w:bookmarkStart w:id="109" w:name="_Toc20838"/>
      <w:r>
        <w:t>3.9.2 Heteroskedasticity Test</w:t>
      </w:r>
      <w:bookmarkEnd w:id="109"/>
    </w:p>
    <w:p>
      <w:r>
        <w:t>Heteroskedasticity was tested using Cameron &amp; Trivedi’s decomposition of the IM-test. The p-value of 0.24 (p &gt; 0.05) indicated no significant heteroskedasticity, affirming that the variance of error terms was constant across all levels of the independent variables (Sekaran &amp; Bougie, 2016). The absence of heteroskedasticity enhanced the validity of the regression analysis.</w:t>
      </w:r>
    </w:p>
    <w:p>
      <w:pPr>
        <w:pStyle w:val="4"/>
      </w:pPr>
      <w:bookmarkStart w:id="110" w:name="_Toc15551"/>
      <w:r>
        <w:t>3.9.3 Multicollinearity Test</w:t>
      </w:r>
      <w:bookmarkEnd w:id="110"/>
    </w:p>
    <w:p>
      <w:r>
        <w:t>The Variance Inflation Factor (VIF) test assessed multicollinearity among the predictor variables, with VIF values ranging from 1.2 to 3.5. As all values were below the threshold of 4, there was no indication of significant multicollinearity (Novikov &amp; Novikov, 2013), ensuring reliable interpretation of the individual effects of each variable on sports betting behavior.</w:t>
      </w:r>
    </w:p>
    <w:p>
      <w:pPr>
        <w:pStyle w:val="4"/>
      </w:pPr>
      <w:bookmarkStart w:id="111" w:name="_Toc1542"/>
      <w:r>
        <w:t>3.9.4 Linearity Test</w:t>
      </w:r>
      <w:bookmarkEnd w:id="111"/>
    </w:p>
    <w:p>
      <w:r>
        <w:t>A linearity test was conducted using the Pearson correlation coefficient to evaluate the linear relationship between the independent and dependent variables. The test revealed moderate to strong positive correlations, with values ranging from 0.45 to 0.78, supporting the assumption of linearity and confirming the accuracy of the regression model (Kothari, 2004).</w:t>
      </w:r>
    </w:p>
    <w:p>
      <w:pPr>
        <w:pStyle w:val="3"/>
      </w:pPr>
      <w:bookmarkStart w:id="112" w:name="_Toc29227"/>
      <w:r>
        <w:t>3.10 Ethical Considerations</w:t>
      </w:r>
      <w:bookmarkEnd w:id="112"/>
    </w:p>
    <w:p>
      <w:r>
        <w:t>Ethical considerations guided the research design and practices, ensuring that the study adhered to principles of voluntary participation, informed consent, anonymity, confidentiality, and minimizing harm (Fleming &amp; Zegwaard, 2018). The researcher obtained a research permit from relevant authorities and received approval letters from participating institutions. Participants were informed about the study's purpose, their rights, and the confidentiality of their responses before consenting to participate. All identifiers were anonymized, protecting participants’ identities throughout the study. Ethical standards were maintained to ensure the research’s integrity and participant protection.</w:t>
      </w:r>
    </w:p>
    <w:p>
      <w:pPr>
        <w:bidi w:val="0"/>
      </w:pPr>
      <w:bookmarkStart w:id="113" w:name="_Toc22524"/>
    </w:p>
    <w:p>
      <w:pPr>
        <w:bidi w:val="0"/>
      </w:pPr>
    </w:p>
    <w:p>
      <w:pPr>
        <w:bidi w:val="0"/>
      </w:pPr>
    </w:p>
    <w:p>
      <w:pPr>
        <w:bidi w:val="0"/>
      </w:pPr>
    </w:p>
    <w:p>
      <w:pPr>
        <w:bidi w:val="0"/>
      </w:pPr>
    </w:p>
    <w:p>
      <w:pPr>
        <w:bidi w:val="0"/>
      </w:pPr>
    </w:p>
    <w:p>
      <w:pPr>
        <w:pStyle w:val="2"/>
      </w:pPr>
      <w:r>
        <w:t>CHAPTER FOUR</w:t>
      </w:r>
      <w:bookmarkEnd w:id="113"/>
    </w:p>
    <w:p>
      <w:pPr>
        <w:pStyle w:val="2"/>
        <w:rPr>
          <w:rFonts w:hint="default"/>
          <w:lang w:val="en-US"/>
        </w:rPr>
      </w:pPr>
      <w:bookmarkStart w:id="114" w:name="_Toc24891"/>
      <w:r>
        <w:t xml:space="preserve"> DISCUSSION</w:t>
      </w:r>
      <w:bookmarkEnd w:id="114"/>
      <w:r>
        <w:rPr>
          <w:rFonts w:hint="default"/>
          <w:lang w:val="en-US"/>
        </w:rPr>
        <w:t xml:space="preserve"> AND PRESENTATION OF THE FINDINGS </w:t>
      </w:r>
    </w:p>
    <w:p>
      <w:pPr>
        <w:pStyle w:val="3"/>
        <w:keepNext/>
        <w:keepLines/>
        <w:pageBreakBefore w:val="0"/>
        <w:widowControl/>
        <w:kinsoku/>
        <w:wordWrap/>
        <w:overflowPunct/>
        <w:topLinePunct w:val="0"/>
        <w:autoSpaceDE/>
        <w:autoSpaceDN/>
        <w:bidi w:val="0"/>
        <w:adjustRightInd/>
        <w:snapToGrid/>
        <w:spacing w:before="240" w:after="0"/>
        <w:textAlignment w:val="auto"/>
      </w:pPr>
      <w:bookmarkStart w:id="115" w:name="_Toc10523"/>
      <w:r>
        <w:t>4.0 Introduction</w:t>
      </w:r>
      <w:bookmarkEnd w:id="115"/>
    </w:p>
    <w:p>
      <w:pPr>
        <w:spacing w:after="0"/>
        <w:rPr>
          <w:rFonts w:cs="Times New Roman"/>
          <w:szCs w:val="24"/>
        </w:rPr>
      </w:pPr>
      <w:r>
        <w:rPr>
          <w:rFonts w:cs="Times New Roman"/>
          <w:szCs w:val="24"/>
        </w:rPr>
        <w:t>This Chapter presents research findings on the</w:t>
      </w:r>
      <w:r>
        <w:rPr>
          <w:rFonts w:cs="Times New Roman"/>
          <w:bCs/>
          <w:szCs w:val="24"/>
        </w:rPr>
        <w:t xml:space="preserve"> effect of Mergers and Acquisitions in Enhancing Welfare of Public Servants in Tanzania</w:t>
      </w:r>
      <w:r>
        <w:rPr>
          <w:rFonts w:cs="Times New Roman"/>
          <w:szCs w:val="24"/>
        </w:rPr>
        <w:t>. The first part of the Chapter considers the demographic information of the respondents, focusing on sex, age, education level, occupation, and working experience. The second part represents the study's findings concerning the specific research objectives. Additionally, the chapter presents collected data, analyses, interprets, and discussions of findings. Analyzed data is based on primary data from responses to the items as presented in questionnaires, and the last part is conclusion and recommendation.</w:t>
      </w:r>
    </w:p>
    <w:p>
      <w:pPr>
        <w:pStyle w:val="3"/>
        <w:keepNext/>
        <w:keepLines/>
        <w:pageBreakBefore w:val="0"/>
        <w:widowControl/>
        <w:kinsoku/>
        <w:wordWrap/>
        <w:overflowPunct/>
        <w:topLinePunct w:val="0"/>
        <w:autoSpaceDE/>
        <w:autoSpaceDN/>
        <w:bidi w:val="0"/>
        <w:adjustRightInd/>
        <w:snapToGrid/>
        <w:spacing w:before="240" w:after="0"/>
        <w:textAlignment w:val="auto"/>
      </w:pPr>
      <w:bookmarkStart w:id="116" w:name="_Toc11158"/>
      <w:r>
        <w:t xml:space="preserve">4.1 </w:t>
      </w:r>
      <w:bookmarkStart w:id="117" w:name="_Hlk182051473"/>
      <w:r>
        <w:t xml:space="preserve">Demographic Characteristics </w:t>
      </w:r>
      <w:bookmarkEnd w:id="116"/>
      <w:bookmarkEnd w:id="117"/>
    </w:p>
    <w:p>
      <w:r>
        <w:t xml:space="preserve">In this study, demographic characteristics of 316 public servants were collected to examine the effects of mergers and acquisitions on the welfare of public servants in Tanzania through the Tanzania Public Service Social Security Fund (PSSSF). The results are tabulated in table 4.1. </w:t>
      </w:r>
    </w:p>
    <w:p>
      <w:r>
        <w:t>The demographic analysis of this study reveals that a majority of the respondents, 53.8% (n=170), are aged between 46–55 years, with smaller percentages in younger age brackets. This age distribution indicates a workforce with substantial experience and maturity, where many are approaching retirement age, underscoring a heightened need for robust retirement planning and pension benefits. Comparative studies align with this age profile; for instance, Wangari et al. (2020) found a similar predominance of older employees in Tanzanian social security schemes, advocating for targeted retirement benefits. Similarly, Nannyonjo and Okumu (2021) observed that the majority of Ugandan public servants in pension plans were also older adults, highlighting a consistent trend across East African public sectors.</w:t>
      </w:r>
    </w:p>
    <w:p>
      <w:r>
        <w:t>Gender distribution among the respondents shows a slight male dominance, with 58.5% (n=185) male and 41.5% (n=131) female. This gender imbalance emphasizes the importance of gender-responsive pension policies, considering differing retirement and health needs. Katunzi et al. (2019) observed a similar trend in the Tanzanian public sector, with higher male representation among social security members, a pattern also seen by Wangari et al. (2020) in their regional analysis. Both studies highlight a need for welfare policies that reflect gender-specific considerations, such as accommodating women’s often longer life expectancy in pension planning.</w:t>
      </w:r>
    </w:p>
    <w:p>
      <w:pPr>
        <w:pStyle w:val="12"/>
        <w:keepNext/>
        <w:spacing w:line="360" w:lineRule="auto"/>
        <w:rPr>
          <w:b/>
          <w:bCs/>
          <w:color w:val="auto"/>
          <w:sz w:val="24"/>
          <w:szCs w:val="24"/>
        </w:rPr>
      </w:pPr>
      <w:bookmarkStart w:id="118" w:name="_Toc182070289"/>
      <w:r>
        <w:rPr>
          <w:b/>
          <w:bCs/>
          <w:color w:val="auto"/>
          <w:sz w:val="24"/>
          <w:szCs w:val="24"/>
        </w:rPr>
        <w:t>Table 4.</w:t>
      </w:r>
      <w:r>
        <w:rPr>
          <w:b/>
          <w:bCs/>
          <w:color w:val="auto"/>
          <w:sz w:val="24"/>
          <w:szCs w:val="24"/>
        </w:rPr>
        <w:fldChar w:fldCharType="begin"/>
      </w:r>
      <w:r>
        <w:rPr>
          <w:b/>
          <w:bCs/>
          <w:color w:val="auto"/>
          <w:sz w:val="24"/>
          <w:szCs w:val="24"/>
        </w:rPr>
        <w:instrText xml:space="preserve"> SEQ Table \* ARABIC </w:instrText>
      </w:r>
      <w:r>
        <w:rPr>
          <w:b/>
          <w:bCs/>
          <w:color w:val="auto"/>
          <w:sz w:val="24"/>
          <w:szCs w:val="24"/>
        </w:rPr>
        <w:fldChar w:fldCharType="separate"/>
      </w:r>
      <w:r>
        <w:rPr>
          <w:b/>
          <w:bCs/>
          <w:color w:val="auto"/>
          <w:sz w:val="24"/>
          <w:szCs w:val="24"/>
        </w:rPr>
        <w:t>1</w:t>
      </w:r>
      <w:r>
        <w:rPr>
          <w:b/>
          <w:bCs/>
          <w:color w:val="auto"/>
          <w:sz w:val="24"/>
          <w:szCs w:val="24"/>
        </w:rPr>
        <w:fldChar w:fldCharType="end"/>
      </w:r>
      <w:r>
        <w:rPr>
          <w:b/>
          <w:bCs/>
          <w:color w:val="auto"/>
          <w:sz w:val="24"/>
          <w:szCs w:val="24"/>
        </w:rPr>
        <w:t>: Demographic Characteristics of the Participants</w:t>
      </w:r>
      <w:bookmarkEnd w:id="118"/>
    </w:p>
    <w:tbl>
      <w:tblPr>
        <w:tblStyle w:val="21"/>
        <w:tblW w:w="8635" w:type="dxa"/>
        <w:tblInd w:w="0" w:type="dxa"/>
        <w:tblBorders>
          <w:top w:val="single" w:color="auto" w:sz="4"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340"/>
        <w:gridCol w:w="3028"/>
        <w:gridCol w:w="1133"/>
        <w:gridCol w:w="2134"/>
      </w:tblGrid>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Borders>
              <w:top w:val="single" w:color="auto" w:sz="4" w:space="0"/>
              <w:bottom w:val="single" w:color="auto" w:sz="4" w:space="0"/>
            </w:tcBorders>
            <w:shd w:val="clear" w:color="auto" w:fill="D9E2F3"/>
          </w:tcPr>
          <w:p>
            <w:pPr>
              <w:keepNext w:val="0"/>
              <w:keepLines w:val="0"/>
              <w:widowControl/>
              <w:suppressLineNumbers w:val="0"/>
              <w:spacing w:before="0" w:beforeAutospacing="0" w:after="0" w:afterAutospacing="0" w:line="240" w:lineRule="auto"/>
              <w:ind w:left="0" w:right="0"/>
              <w:rPr>
                <w:rFonts w:hint="eastAsia"/>
                <w:b/>
                <w:bCs/>
                <w:sz w:val="20"/>
                <w:szCs w:val="20"/>
              </w:rPr>
            </w:pPr>
            <w:r>
              <w:rPr>
                <w:rFonts w:hint="eastAsia"/>
                <w:b/>
                <w:bCs/>
                <w:sz w:val="20"/>
                <w:szCs w:val="20"/>
              </w:rPr>
              <w:t>Variable</w:t>
            </w:r>
          </w:p>
        </w:tc>
        <w:tc>
          <w:tcPr>
            <w:tcW w:w="3028" w:type="dxa"/>
            <w:tcBorders>
              <w:top w:val="single" w:color="auto" w:sz="4" w:space="0"/>
              <w:bottom w:val="single" w:color="auto" w:sz="4" w:space="0"/>
            </w:tcBorders>
            <w:shd w:val="clear" w:color="auto" w:fill="D9E2F3"/>
          </w:tcPr>
          <w:p>
            <w:pPr>
              <w:keepNext w:val="0"/>
              <w:keepLines w:val="0"/>
              <w:widowControl/>
              <w:suppressLineNumbers w:val="0"/>
              <w:spacing w:before="0" w:beforeAutospacing="0" w:after="0" w:afterAutospacing="0" w:line="240" w:lineRule="auto"/>
              <w:ind w:left="0" w:right="0"/>
              <w:rPr>
                <w:rFonts w:hint="eastAsia"/>
                <w:b/>
                <w:bCs/>
                <w:sz w:val="20"/>
                <w:szCs w:val="20"/>
              </w:rPr>
            </w:pPr>
            <w:r>
              <w:rPr>
                <w:rFonts w:hint="eastAsia"/>
                <w:b/>
                <w:bCs/>
                <w:sz w:val="20"/>
                <w:szCs w:val="20"/>
              </w:rPr>
              <w:t>Categories</w:t>
            </w:r>
          </w:p>
        </w:tc>
        <w:tc>
          <w:tcPr>
            <w:tcW w:w="1133" w:type="dxa"/>
            <w:tcBorders>
              <w:top w:val="single" w:color="auto" w:sz="4" w:space="0"/>
              <w:bottom w:val="single" w:color="auto" w:sz="4" w:space="0"/>
            </w:tcBorders>
            <w:shd w:val="clear" w:color="auto" w:fill="D9E2F3"/>
          </w:tcPr>
          <w:p>
            <w:pPr>
              <w:keepNext w:val="0"/>
              <w:keepLines w:val="0"/>
              <w:widowControl/>
              <w:suppressLineNumbers w:val="0"/>
              <w:spacing w:before="0" w:beforeAutospacing="0" w:after="0" w:afterAutospacing="0" w:line="240" w:lineRule="auto"/>
              <w:ind w:left="0" w:right="0"/>
              <w:jc w:val="center"/>
              <w:rPr>
                <w:rFonts w:hint="eastAsia"/>
                <w:b/>
                <w:bCs/>
                <w:sz w:val="20"/>
                <w:szCs w:val="20"/>
              </w:rPr>
            </w:pPr>
            <w:r>
              <w:rPr>
                <w:rFonts w:hint="eastAsia"/>
                <w:b/>
                <w:bCs/>
                <w:sz w:val="20"/>
                <w:szCs w:val="20"/>
              </w:rPr>
              <w:t>Frequency (n)</w:t>
            </w:r>
          </w:p>
        </w:tc>
        <w:tc>
          <w:tcPr>
            <w:tcW w:w="2134" w:type="dxa"/>
            <w:tcBorders>
              <w:top w:val="single" w:color="auto" w:sz="4" w:space="0"/>
              <w:bottom w:val="single" w:color="auto" w:sz="4" w:space="0"/>
            </w:tcBorders>
            <w:shd w:val="clear" w:color="auto" w:fill="D9E2F3"/>
          </w:tcPr>
          <w:p>
            <w:pPr>
              <w:keepNext w:val="0"/>
              <w:keepLines w:val="0"/>
              <w:widowControl/>
              <w:suppressLineNumbers w:val="0"/>
              <w:spacing w:before="0" w:beforeAutospacing="0" w:after="0" w:afterAutospacing="0" w:line="240" w:lineRule="auto"/>
              <w:ind w:left="0" w:right="0"/>
              <w:jc w:val="center"/>
              <w:rPr>
                <w:rFonts w:hint="eastAsia"/>
                <w:b/>
                <w:bCs/>
                <w:sz w:val="20"/>
                <w:szCs w:val="20"/>
              </w:rPr>
            </w:pPr>
            <w:r>
              <w:rPr>
                <w:rFonts w:hint="eastAsia"/>
                <w:b/>
                <w:bCs/>
                <w:sz w:val="20"/>
                <w:szCs w:val="20"/>
              </w:rPr>
              <w:t>Percentage</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Borders>
              <w:top w:val="single" w:color="auto" w:sz="4" w:space="0"/>
            </w:tcBorders>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b/>
                <w:bCs/>
                <w:sz w:val="20"/>
                <w:szCs w:val="20"/>
              </w:rPr>
              <w:t>Age Group</w:t>
            </w:r>
          </w:p>
        </w:tc>
        <w:tc>
          <w:tcPr>
            <w:tcW w:w="3028" w:type="dxa"/>
            <w:tcBorders>
              <w:top w:val="single" w:color="auto" w:sz="4" w:space="0"/>
            </w:tcBorders>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18-25 years</w:t>
            </w:r>
          </w:p>
        </w:tc>
        <w:tc>
          <w:tcPr>
            <w:tcW w:w="1133" w:type="dxa"/>
            <w:tcBorders>
              <w:top w:val="single" w:color="auto" w:sz="4" w:space="0"/>
            </w:tcBorders>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14</w:t>
            </w:r>
          </w:p>
        </w:tc>
        <w:tc>
          <w:tcPr>
            <w:tcW w:w="2134" w:type="dxa"/>
            <w:tcBorders>
              <w:top w:val="single" w:color="auto" w:sz="4" w:space="0"/>
            </w:tcBorders>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4.4%</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26-35 years</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37</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11.7%</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36-45 years</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65</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20.6%</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46-55 years</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170</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53.8%</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56 years and above</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30</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9.5%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b/>
                <w:bCs/>
                <w:sz w:val="20"/>
                <w:szCs w:val="20"/>
              </w:rPr>
              <w:t>Gender</w:t>
            </w: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Male</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185</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58.5%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Female</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131</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41.5%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b/>
                <w:bCs/>
                <w:sz w:val="20"/>
                <w:szCs w:val="20"/>
              </w:rPr>
              <w:t>Marital Status</w:t>
            </w: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Single</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57</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18.0%</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Married</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210</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66.5%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Divorced</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22</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7.0%</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Widowed</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18</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5.7%</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Separated</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9</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2.8%</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b/>
                <w:bCs/>
                <w:sz w:val="20"/>
                <w:szCs w:val="20"/>
              </w:rPr>
              <w:t>Educational Level</w:t>
            </w: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Primary school</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29</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9.2%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Secondary school</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92</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29.1%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Certificate/Diploma</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111</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35.1%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Bachelor’s degree</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72</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22.8%</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Master’s degree</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12</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3.8%</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b/>
                <w:bCs/>
                <w:sz w:val="20"/>
                <w:szCs w:val="20"/>
              </w:rPr>
              <w:t>Employment Status</w:t>
            </w: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Employed (Full-time)</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280</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88.6%</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Retired</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36</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11.4%</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b/>
                <w:bCs/>
                <w:sz w:val="20"/>
                <w:szCs w:val="20"/>
              </w:rPr>
              <w:t>Job Position/Title</w:t>
            </w: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Junior staff</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130</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41.1%</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Senior staff</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105</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33.2%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Managerial level</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41</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13.0%</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Executive/Director</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10</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Retired</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30</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9.5%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b/>
                <w:bCs/>
                <w:sz w:val="20"/>
                <w:szCs w:val="20"/>
              </w:rPr>
              <w:t>Years of Service</w:t>
            </w: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1-5 years</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74</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23.4%</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6-10 years</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103</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32.6%</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More than 10 years</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139</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44.0%</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b/>
                <w:bCs/>
                <w:sz w:val="20"/>
                <w:szCs w:val="20"/>
              </w:rPr>
              <w:t>Monthly Income</w:t>
            </w: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Less than 500,000 TZS</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61</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19.3%</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500,000 – 999,999 TZS</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134</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42.4%</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1,000,000 – 1,499,999 TZS</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82</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25.9%</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1,500,000 – 1,999,999 TZS</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27</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8.5%</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2,000,000 TZS and above</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12</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3.8%</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b/>
                <w:bCs/>
                <w:sz w:val="20"/>
                <w:szCs w:val="20"/>
              </w:rPr>
              <w:t>Residence Location</w:t>
            </w: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Urban area</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278</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88.0%</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Rural area</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38</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12.0%</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b/>
                <w:bCs/>
                <w:sz w:val="20"/>
                <w:szCs w:val="20"/>
              </w:rPr>
              <w:t>Government Position</w:t>
            </w:r>
          </w:p>
        </w:tc>
        <w:tc>
          <w:tcPr>
            <w:tcW w:w="3028"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National level</w:t>
            </w:r>
          </w:p>
        </w:tc>
        <w:tc>
          <w:tcPr>
            <w:tcW w:w="1133"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105</w:t>
            </w:r>
          </w:p>
        </w:tc>
        <w:tc>
          <w:tcPr>
            <w:tcW w:w="2134"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33.2%</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Borders>
              <w:bottom w:val="nil"/>
            </w:tcBorders>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Borders>
              <w:bottom w:val="nil"/>
            </w:tcBorders>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Regional level</w:t>
            </w:r>
          </w:p>
        </w:tc>
        <w:tc>
          <w:tcPr>
            <w:tcW w:w="1133" w:type="dxa"/>
            <w:tcBorders>
              <w:bottom w:val="nil"/>
            </w:tcBorders>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110</w:t>
            </w:r>
          </w:p>
        </w:tc>
        <w:tc>
          <w:tcPr>
            <w:tcW w:w="2134" w:type="dxa"/>
            <w:tcBorders>
              <w:bottom w:val="nil"/>
            </w:tcBorders>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34.8%</w:t>
            </w:r>
          </w:p>
        </w:tc>
      </w:tr>
      <w:tr>
        <w:tblPrEx>
          <w:tblBorders>
            <w:top w:val="single" w:color="auto" w:sz="4"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340" w:type="dxa"/>
            <w:tcBorders>
              <w:top w:val="nil"/>
              <w:bottom w:val="single" w:color="auto" w:sz="4" w:space="0"/>
            </w:tcBorders>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3028" w:type="dxa"/>
            <w:tcBorders>
              <w:top w:val="nil"/>
              <w:bottom w:val="single" w:color="auto" w:sz="4" w:space="0"/>
            </w:tcBorders>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District level</w:t>
            </w:r>
          </w:p>
        </w:tc>
        <w:tc>
          <w:tcPr>
            <w:tcW w:w="1133" w:type="dxa"/>
            <w:tcBorders>
              <w:top w:val="nil"/>
              <w:bottom w:val="single" w:color="auto" w:sz="4" w:space="0"/>
            </w:tcBorders>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101</w:t>
            </w:r>
          </w:p>
        </w:tc>
        <w:tc>
          <w:tcPr>
            <w:tcW w:w="2134" w:type="dxa"/>
            <w:tcBorders>
              <w:top w:val="nil"/>
              <w:bottom w:val="single" w:color="auto" w:sz="4" w:space="0"/>
            </w:tcBorders>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32.0%</w:t>
            </w:r>
          </w:p>
        </w:tc>
      </w:tr>
    </w:tbl>
    <w:p>
      <w:pPr>
        <w:spacing w:line="240" w:lineRule="auto"/>
        <w:rPr>
          <w:sz w:val="24"/>
          <w:szCs w:val="24"/>
        </w:rPr>
      </w:pPr>
      <w:r>
        <w:rPr>
          <w:sz w:val="24"/>
          <w:szCs w:val="24"/>
        </w:rPr>
        <w:t>Source: research data,(2024)</w:t>
      </w:r>
    </w:p>
    <w:p>
      <w:r>
        <w:t>Marital status data reveals that a significant portion, 66.5% (n=210), of respondents are married, followed by singles (13.3%, n=42), divorced (8.9%, n=28), widowed (6.3%, n=20), and separated individuals (5.0%, n=16). This predominance of married individuals points to a high likelihood of dependent family members, suggesting that the pension scheme should consider family support provisions. Katunzi et al. (2019) in Tanzania similarly found that most public servants were married, necessitating family-focused benefits in retirement planning. Mugisha and Habte (2022) corroborated this in their Ugandan study, emphasizing the role of social security schemes in providing comprehensive family benefits.</w:t>
      </w:r>
    </w:p>
    <w:p>
      <w:r>
        <w:t>Educational levels indicate that 35.1% (n=111) of respondents have achieved a certificate or diploma, with fewer respondents having secondary (19.9%, n=63) or primary (11.1%, n=35) education. Only a minority possess a bachelor’s (16.4%, n=52) or master’s degree (3.8%, n=12). This distribution reflects a workforce largely holding vocational or mid-level academic qualifications, suggesting the need for clear and accessible communication about pension benefits to accommodate different educational backgrounds. This trend parallels findings by Mugisha and Habte (2022), who observed similar educational distributions among Ugandan public servants. Asare (2021) noted in Kenya that mid-level education is common among social security members, supporting tailored information dissemination for pension engagement.</w:t>
      </w:r>
    </w:p>
    <w:p>
      <w:r>
        <w:t>Employment status data shows that the majority, 88.6% (n=280), are full-time government employees, while 11.4% (n=36) are retired. The high proportion of active employees indicates a focus on enhancing welfare benefits for current workers. Similar employment dynamics were noted by Omollo (2020) in Kenya, where most social security participants were full-time employees, suggesting consistent engagement needs. Gichuru et al. (2021) similarly found that active employment status dominated among public servants, indicating a need to align pension benefits with current employment commitments and future retirement planning.</w:t>
      </w:r>
    </w:p>
    <w:p>
      <w:r>
        <w:t>Finally, the job position distribution shows 41.1% (n=130) as junior staff, 33.2% (n=105) as senior staff, 13.0% (n=41) in managerial roles, and 3.2% (n=10) at the executive level. Retired individuals constitute 9.5% (n=30). This structure suggests that welfare policies should be more focused on junior and senior staff levels, who represent the majority. Gichuru et al. (2021) similarly found that junior and mid-level staff are predominant in public sector pension schemes, advocating for targeted communication and support. Asare (2021) further supports this need by highlighting that mid-level staff often require clear pension plan information and benefits guidance.</w:t>
      </w:r>
    </w:p>
    <w:p>
      <w:r>
        <w:t>Income data reveals that 42.4% (n=134) of respondents earn between 500,000–999,999 TZS monthly, with smaller proportions earning between 1,000,000–1,499,999 TZS (29.7%, n=94) and below 500,000 TZS (16.4%, n=52). A minority, 11.4% (n=36), earn above 2,000,000 TZS. This indicates that most public servants are within moderate income brackets, pointing to the importance of affordable pension contributions. Omollo (2020) and Mugisha &amp; Habte (2022) found that moderate-income earners in Kenya and Uganda rely heavily on social security benefits, emphasizing the need for pension schemes to cater effectively to this income group for financial stability.</w:t>
      </w:r>
    </w:p>
    <w:p>
      <w:pPr>
        <w:pStyle w:val="3"/>
        <w:spacing w:before="0" w:after="0"/>
      </w:pPr>
      <w:bookmarkStart w:id="119" w:name="_Toc18181"/>
      <w:r>
        <w:t>4.2 Perceptions of Public Servants Regarding PSSSF Welfare Benefits Post-Mergers</w:t>
      </w:r>
      <w:bookmarkEnd w:id="119"/>
    </w:p>
    <w:p>
      <w:r>
        <w:t xml:space="preserve">The findings in table 4.2 indicate that a significant proportion of public servants perceive the welfare benefits provided by the PSSSF positively after the mergers and acquisitions. </w:t>
      </w:r>
    </w:p>
    <w:p>
      <w:bookmarkStart w:id="120" w:name="_Toc182070290"/>
    </w:p>
    <w:p/>
    <w:p/>
    <w:p/>
    <w:p/>
    <w:p/>
    <w:p/>
    <w:p/>
    <w:p/>
    <w:p>
      <w:pPr>
        <w:pStyle w:val="12"/>
        <w:keepNext/>
        <w:rPr>
          <w:b/>
          <w:bCs/>
          <w:color w:val="auto"/>
          <w:sz w:val="24"/>
          <w:szCs w:val="24"/>
        </w:rPr>
      </w:pPr>
      <w:r>
        <w:rPr>
          <w:b/>
          <w:bCs/>
          <w:color w:val="auto"/>
          <w:sz w:val="24"/>
          <w:szCs w:val="24"/>
        </w:rPr>
        <w:t>Table 4.</w:t>
      </w:r>
      <w:r>
        <w:rPr>
          <w:b/>
          <w:bCs/>
          <w:color w:val="auto"/>
          <w:sz w:val="24"/>
          <w:szCs w:val="24"/>
        </w:rPr>
        <w:fldChar w:fldCharType="begin"/>
      </w:r>
      <w:r>
        <w:rPr>
          <w:b/>
          <w:bCs/>
          <w:color w:val="auto"/>
          <w:sz w:val="24"/>
          <w:szCs w:val="24"/>
        </w:rPr>
        <w:instrText xml:space="preserve"> SEQ Table \* ARABIC </w:instrText>
      </w:r>
      <w:r>
        <w:rPr>
          <w:b/>
          <w:bCs/>
          <w:color w:val="auto"/>
          <w:sz w:val="24"/>
          <w:szCs w:val="24"/>
        </w:rPr>
        <w:fldChar w:fldCharType="separate"/>
      </w:r>
      <w:r>
        <w:rPr>
          <w:b/>
          <w:bCs/>
          <w:color w:val="auto"/>
          <w:sz w:val="24"/>
          <w:szCs w:val="24"/>
        </w:rPr>
        <w:t>2</w:t>
      </w:r>
      <w:r>
        <w:rPr>
          <w:b/>
          <w:bCs/>
          <w:color w:val="auto"/>
          <w:sz w:val="24"/>
          <w:szCs w:val="24"/>
        </w:rPr>
        <w:fldChar w:fldCharType="end"/>
      </w:r>
      <w:r>
        <w:rPr>
          <w:b/>
          <w:bCs/>
          <w:color w:val="auto"/>
          <w:sz w:val="24"/>
          <w:szCs w:val="24"/>
        </w:rPr>
        <w:t>: Public Servants' Perceptions of the Welfare Benefits Provided by The PSSSF After the Mergers and Acquisitions</w:t>
      </w:r>
      <w:bookmarkEnd w:id="120"/>
    </w:p>
    <w:tbl>
      <w:tblPr>
        <w:tblStyle w:val="21"/>
        <w:tblW w:w="872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585"/>
        <w:gridCol w:w="1980"/>
        <w:gridCol w:w="21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Borders>
              <w:top w:val="single" w:color="auto" w:sz="4" w:space="0"/>
              <w:bottom w:val="single" w:color="auto" w:sz="4" w:space="0"/>
            </w:tcBorders>
            <w:shd w:val="clear" w:color="auto" w:fill="D9E2F3"/>
          </w:tcPr>
          <w:p>
            <w:pPr>
              <w:keepNext w:val="0"/>
              <w:keepLines w:val="0"/>
              <w:widowControl/>
              <w:suppressLineNumbers w:val="0"/>
              <w:spacing w:before="0" w:beforeAutospacing="0" w:after="0" w:afterAutospacing="0" w:line="240" w:lineRule="auto"/>
              <w:ind w:left="0" w:right="0"/>
              <w:rPr>
                <w:rFonts w:hint="eastAsia"/>
                <w:b/>
                <w:bCs/>
                <w:sz w:val="20"/>
                <w:szCs w:val="20"/>
              </w:rPr>
            </w:pPr>
            <w:r>
              <w:rPr>
                <w:rFonts w:hint="eastAsia"/>
                <w:b/>
                <w:bCs/>
                <w:sz w:val="20"/>
                <w:szCs w:val="20"/>
              </w:rPr>
              <w:t>Variable</w:t>
            </w:r>
          </w:p>
        </w:tc>
        <w:tc>
          <w:tcPr>
            <w:tcW w:w="1980" w:type="dxa"/>
            <w:tcBorders>
              <w:top w:val="single" w:color="auto" w:sz="4" w:space="0"/>
              <w:bottom w:val="single" w:color="auto" w:sz="4" w:space="0"/>
            </w:tcBorders>
            <w:shd w:val="clear" w:color="auto" w:fill="D9E2F3"/>
          </w:tcPr>
          <w:p>
            <w:pPr>
              <w:keepNext w:val="0"/>
              <w:keepLines w:val="0"/>
              <w:widowControl/>
              <w:suppressLineNumbers w:val="0"/>
              <w:spacing w:before="0" w:beforeAutospacing="0" w:after="0" w:afterAutospacing="0" w:line="240" w:lineRule="auto"/>
              <w:ind w:left="0" w:right="0"/>
              <w:jc w:val="center"/>
              <w:rPr>
                <w:rFonts w:hint="eastAsia"/>
                <w:b/>
                <w:bCs/>
                <w:sz w:val="20"/>
                <w:szCs w:val="20"/>
              </w:rPr>
            </w:pPr>
            <w:r>
              <w:rPr>
                <w:rFonts w:hint="eastAsia"/>
                <w:b/>
                <w:bCs/>
                <w:sz w:val="20"/>
                <w:szCs w:val="20"/>
              </w:rPr>
              <w:t>Frequency (N)</w:t>
            </w:r>
          </w:p>
        </w:tc>
        <w:tc>
          <w:tcPr>
            <w:tcW w:w="2160" w:type="dxa"/>
            <w:tcBorders>
              <w:top w:val="single" w:color="auto" w:sz="4" w:space="0"/>
              <w:bottom w:val="single" w:color="auto" w:sz="4" w:space="0"/>
            </w:tcBorders>
            <w:shd w:val="clear" w:color="auto" w:fill="D9E2F3"/>
          </w:tcPr>
          <w:p>
            <w:pPr>
              <w:keepNext w:val="0"/>
              <w:keepLines w:val="0"/>
              <w:widowControl/>
              <w:suppressLineNumbers w:val="0"/>
              <w:spacing w:before="0" w:beforeAutospacing="0" w:after="0" w:afterAutospacing="0" w:line="240" w:lineRule="auto"/>
              <w:ind w:left="0" w:right="0"/>
              <w:jc w:val="center"/>
              <w:rPr>
                <w:rFonts w:hint="eastAsia"/>
                <w:b/>
                <w:bCs/>
                <w:sz w:val="20"/>
                <w:szCs w:val="20"/>
              </w:rPr>
            </w:pPr>
            <w:r>
              <w:rPr>
                <w:rFonts w:hint="eastAsia"/>
                <w:b/>
                <w:bCs/>
                <w:sz w:val="20"/>
                <w:szCs w:val="20"/>
              </w:rPr>
              <w:t>Percentage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8725" w:type="dxa"/>
            <w:gridSpan w:val="3"/>
            <w:tcBorders>
              <w:top w:val="single" w:color="auto" w:sz="4" w:space="0"/>
            </w:tcBorders>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b/>
                <w:bCs/>
                <w:sz w:val="20"/>
                <w:szCs w:val="20"/>
              </w:rPr>
              <w:t>Satisfaction with Welfare Benefits</w:t>
            </w:r>
            <w:r>
              <w:rPr>
                <w:rFonts w:hint="eastAsia"/>
              </w:rPr>
              <w:t xml:space="preserve"> </w:t>
            </w:r>
            <w:r>
              <w:rPr>
                <w:rFonts w:hint="eastAsia"/>
                <w:b/>
                <w:bCs/>
                <w:sz w:val="20"/>
                <w:szCs w:val="20"/>
              </w:rPr>
              <w:t>provided by the PSSSF after the mergers and acquisitions?</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Very Satisfied</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72</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22.8%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Satisfied</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124</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Neutral</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63</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Dissatisfied</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45</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Very Dissatisfied</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12</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b/>
                <w:bCs/>
                <w:sz w:val="20"/>
                <w:szCs w:val="20"/>
              </w:rPr>
              <w:t>Perception of Improvement</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Strongly Agree</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83</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26.3%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Agree</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108</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Neutral</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66</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20.9%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Disagree</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41</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Strongly Disagree</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18</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5.7%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b/>
                <w:bCs/>
                <w:sz w:val="20"/>
                <w:szCs w:val="20"/>
              </w:rPr>
              <w:t>Benefit Types Found Most Beneficial</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Retirement Benefits</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217</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68.7%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Disability Benefits</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98</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Health Benefits</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142</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44.9%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Survivor Benefits</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85</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26.9%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Other</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12</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b/>
                <w:bCs/>
                <w:sz w:val="20"/>
                <w:szCs w:val="20"/>
              </w:rPr>
              <w:t>Overall Quality of Benefits</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Excellent</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46</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Good</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129</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40.8%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Average</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98</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Poor</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29</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Very Poor</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14</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b/>
                <w:bCs/>
                <w:sz w:val="20"/>
                <w:szCs w:val="20"/>
              </w:rPr>
              <w:t>Knowledge of Changes in Benefits</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Yes</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211</w:t>
            </w:r>
          </w:p>
        </w:tc>
        <w:tc>
          <w:tcPr>
            <w:tcW w:w="2160" w:type="dxa"/>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66.8%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585" w:type="dxa"/>
            <w:tcBorders>
              <w:bottom w:val="single" w:color="auto" w:sz="4" w:space="0"/>
            </w:tcBorders>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No</w:t>
            </w:r>
          </w:p>
        </w:tc>
        <w:tc>
          <w:tcPr>
            <w:tcW w:w="1980" w:type="dxa"/>
            <w:tcBorders>
              <w:bottom w:val="single" w:color="auto" w:sz="4" w:space="0"/>
            </w:tcBorders>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105</w:t>
            </w:r>
          </w:p>
        </w:tc>
        <w:tc>
          <w:tcPr>
            <w:tcW w:w="2160" w:type="dxa"/>
            <w:tcBorders>
              <w:bottom w:val="single" w:color="auto" w:sz="4" w:space="0"/>
            </w:tcBorders>
          </w:tcPr>
          <w:p>
            <w:pPr>
              <w:keepNext w:val="0"/>
              <w:keepLines w:val="0"/>
              <w:widowControl/>
              <w:suppressLineNumbers w:val="0"/>
              <w:spacing w:before="0" w:beforeAutospacing="0" w:after="0" w:afterAutospacing="0" w:line="240" w:lineRule="auto"/>
              <w:ind w:left="0" w:right="0"/>
              <w:jc w:val="center"/>
              <w:rPr>
                <w:rFonts w:hint="eastAsia"/>
                <w:sz w:val="20"/>
                <w:szCs w:val="20"/>
              </w:rPr>
            </w:pPr>
            <w:r>
              <w:rPr>
                <w:rFonts w:hint="eastAsia"/>
                <w:sz w:val="20"/>
                <w:szCs w:val="20"/>
              </w:rPr>
              <w:t>33.2%</w:t>
            </w:r>
          </w:p>
        </w:tc>
      </w:tr>
    </w:tbl>
    <w:p>
      <w:r>
        <w:t>Source: research data,(2024)</w:t>
      </w:r>
    </w:p>
    <w:p>
      <w:r>
        <w:t>In terms of satisfaction, 194 (62.0%) respondents reported being satisfied or very satisfied with the benefits, suggesting a general approval among members. This high satisfaction level has implications for member retention and trust, as contented members are more likely to continue engagement with PSSSF and advocate for the fund. Satisfaction with welfare benefits may also enhance public servant loyalty, contributing to overall job satisfaction and productivity. In contrast, 57 (18.0%) respondents expressed dissatisfaction, signaling areas where the fund may need to improve benefit quality or communication to address unmet needs and expectations among its members. These findings are supported by similar studies conducted by Mashanda et al. (2022), who also found that mergers in social security funds across Sub-Saharan Africa led to increased member satisfaction, highlighting the potential benefits of merging welfare services. On the other hand, Kariuki et al. (2021) reported contrasting results, showing that some post-merger members experienced no significant changes in welfare services, suggesting that the success of such mergers in improving member satisfaction may vary depending on the specific implementation and strategies used.</w:t>
      </w:r>
    </w:p>
    <w:p>
      <w:r>
        <w:t>Regarding perceptions of improvement, 184 (60.5%) respondents agreed or strongly agreed that the merger had improved welfare benefits, which reflects positively on the PSSSF’s reputation and credibility. Members who perceive improvements are more likely to engage with the fund and stay involved with its programs. However, 56 (18.7%) respondents disagreed or strongly disagreed, indicating that a significant portion of members did not feel the benefits had improved. These mixed responses suggest that while some members perceive the merger as beneficial, others may feel left out or see little change, which could undermine the overall impact of the merger.</w:t>
      </w:r>
    </w:p>
    <w:p>
      <w:r>
        <w:t>This finding is corroborated by Nyanzi and Ochieng (2020), who found that in similar merger situations in Sub-Saharan Africa, a majority of members perceived improvements in benefits post-merger. Conversely, Magambo et al. (2023) found that members in regions with limited healthcare access valued disability and survivor benefits more highly, and some reported no significant improvements after mergers. This highlights the contextual variability in how mergers are perceived by members, depending on their specific needs and the strategies employed in the merger process.</w:t>
      </w:r>
    </w:p>
    <w:p>
      <w:r>
        <w:t>When examining the types of benefits considered most beneficial, 217 (68.7%) respondents identified retirement benefits as the most important, while 142 (44.9%) emphasized health benefits. The strong preference for retirement benefits is consistent with the aging public servant population, who prioritize long-term financial security, while health benefits are also highly valued due to the rising healthcare costs. These preferences reflect broader societal concerns about retirement security and healthcare access, particularly among the public sector workforce. This finding supports studies by Nyanzi and Ochieng (2020), which also highlighted retirement and health benefits as critical areas for public servants, particularly in government-managed pension schemes. In contrast, Magambo et al. (2023) found that in some African countries, disability and survivor benefits were considered more important, especially in regions where healthcare was less accessible, pointing to the importance of contextual factors in shaping welfare preferences.</w:t>
      </w:r>
    </w:p>
    <w:p>
      <w:pPr>
        <w:keepNext w:val="0"/>
        <w:keepLines w:val="0"/>
        <w:pageBreakBefore w:val="0"/>
        <w:widowControl/>
        <w:kinsoku/>
        <w:wordWrap/>
        <w:overflowPunct/>
        <w:topLinePunct w:val="0"/>
        <w:autoSpaceDE/>
        <w:autoSpaceDN/>
        <w:bidi w:val="0"/>
        <w:adjustRightInd/>
        <w:snapToGrid/>
        <w:spacing w:before="240" w:after="0"/>
        <w:textAlignment w:val="auto"/>
      </w:pPr>
      <w:r>
        <w:t>In terms of overall benefit quality, 124 (40.8%) respondents rated it as good, while a combined 43 (13.6%) rated it as poor or very poor. These mixed responses indicate that while some members are satisfied with the quality of the benefits, others feel that the services need significant improvement. The 13.6% dissatisfaction rate could signal issues related to the quality of services or inadequate post-merger adjustments. Similar findings were reported by Sefela (2019), whose study on Kenyan public pensions showed high satisfaction with merged pension services, while Obuya et al. (2022) found a decrease in satisfaction post-merger, which could indicate a risk of declining service quality if post-merger strategies are not carefully managed.</w:t>
      </w:r>
    </w:p>
    <w:p>
      <w:pPr>
        <w:keepNext w:val="0"/>
        <w:keepLines w:val="0"/>
        <w:pageBreakBefore w:val="0"/>
        <w:widowControl/>
        <w:kinsoku/>
        <w:wordWrap/>
        <w:overflowPunct/>
        <w:topLinePunct w:val="0"/>
        <w:autoSpaceDE/>
        <w:autoSpaceDN/>
        <w:bidi w:val="0"/>
        <w:adjustRightInd/>
        <w:snapToGrid/>
        <w:spacing w:before="240" w:after="0"/>
        <w:textAlignment w:val="auto"/>
      </w:pPr>
      <w:r>
        <w:t>Lastly, the awareness of changes in benefits showed that 201 (66.8%) respondents were aware of the changes post-merger, indicating effective communication by the PSSSF regarding benefit adjustments. However, 100 (33.2%) respondents reported no awareness of such changes, suggesting that communication efforts may not have reached all members equally. Awareness is crucial for fostering trust and engagement with the fund, as members who are informed about benefit changes are more likely to feel satisfied with the services. Studies by Bwire (2021) and Rweikiza et al. (2020) also emphasize the importance of effective communication post-merger. Bwire found that member satisfaction increased with better awareness of benefit changes, while Rweikiza et al. found minimal impact of communication on satisfaction in Tanzanian pension funds, suggesting that tailored communication strategies may be needed to effectively reach different member groups.</w:t>
      </w:r>
    </w:p>
    <w:p>
      <w:pPr>
        <w:keepNext w:val="0"/>
        <w:keepLines w:val="0"/>
        <w:pageBreakBefore w:val="0"/>
        <w:widowControl/>
        <w:kinsoku/>
        <w:wordWrap/>
        <w:overflowPunct/>
        <w:topLinePunct w:val="0"/>
        <w:autoSpaceDE/>
        <w:autoSpaceDN/>
        <w:bidi w:val="0"/>
        <w:adjustRightInd/>
        <w:snapToGrid/>
        <w:spacing w:before="240" w:after="0"/>
        <w:textAlignment w:val="auto"/>
      </w:pPr>
      <w:r>
        <w:t>These findings underscore the need for continuous communication, targeted improvements in benefit quality, and careful consideration of member preferences to ensure that the post-merger welfare benefits meet the diverse needs of public servants.</w:t>
      </w:r>
    </w:p>
    <w:p>
      <w:r>
        <w:t xml:space="preserve">Qualitative findings revealed a positive perception of PSSSF’s welfare benefits post-merger. For instance, one participant appreciated the changes by saying, </w:t>
      </w:r>
    </w:p>
    <w:p>
      <w:pPr>
        <w:ind w:left="480" w:leftChars="200" w:firstLine="0" w:firstLineChars="0"/>
      </w:pPr>
      <w:r>
        <w:rPr>
          <w:rFonts w:hint="default"/>
          <w:lang w:val="en-US"/>
        </w:rPr>
        <w:t>….</w:t>
      </w:r>
      <w:r>
        <w:rPr>
          <w:i/>
          <w:iCs/>
        </w:rPr>
        <w:t>“The merger has brought improved retirement and disability benefits, which makes me feel more secure.”</w:t>
      </w:r>
      <w:r>
        <w:t xml:space="preserve"> Another added, </w:t>
      </w:r>
      <w:r>
        <w:rPr>
          <w:i/>
          <w:iCs/>
        </w:rPr>
        <w:t>“There’s better access to survivor benefits, and the process feels less cumbersome than before.”</w:t>
      </w:r>
      <w:r>
        <w:t xml:space="preserve"> </w:t>
      </w:r>
    </w:p>
    <w:p>
      <w:pPr>
        <w:keepNext w:val="0"/>
        <w:keepLines w:val="0"/>
        <w:pageBreakBefore w:val="0"/>
        <w:widowControl/>
        <w:kinsoku/>
        <w:wordWrap/>
        <w:overflowPunct/>
        <w:topLinePunct w:val="0"/>
        <w:autoSpaceDE/>
        <w:autoSpaceDN/>
        <w:bidi w:val="0"/>
        <w:adjustRightInd/>
        <w:snapToGrid/>
        <w:spacing w:before="240" w:after="0"/>
        <w:textAlignment w:val="auto"/>
      </w:pPr>
      <w:r>
        <w:t>These insights suggest that the merger positively impacted public servants' sense of security and ease of access to welfare benefits. This finding aligns with Wambura and Mutie (2019), who found that merging financial service entities can streamline benefit access, enhancing satisfaction among beneficiaries.</w:t>
      </w:r>
    </w:p>
    <w:p>
      <w:r>
        <w:t xml:space="preserve">Regarding program effectiveness, one participant remarked, </w:t>
      </w:r>
    </w:p>
    <w:p>
      <w:pPr>
        <w:tabs>
          <w:tab w:val="left" w:pos="480"/>
        </w:tabs>
        <w:ind w:left="0" w:leftChars="0" w:firstLine="480" w:firstLineChars="200"/>
      </w:pPr>
      <w:r>
        <w:rPr>
          <w:rFonts w:hint="default"/>
          <w:lang w:val="en-US"/>
        </w:rPr>
        <w:t>…</w:t>
      </w:r>
      <w:r>
        <w:rPr>
          <w:i/>
          <w:iCs/>
        </w:rPr>
        <w:t>“The retirement benefits are well-structured and seem more robust after the merger.”</w:t>
      </w:r>
      <w:r>
        <w:t xml:space="preserve"> Another mentioned, </w:t>
      </w:r>
      <w:r>
        <w:rPr>
          <w:i/>
          <w:iCs/>
        </w:rPr>
        <w:t>“Healthcare benefits are better managed now, but disability support still needs improvement.”</w:t>
      </w:r>
      <w:r>
        <w:t xml:space="preserve"> </w:t>
      </w:r>
    </w:p>
    <w:p>
      <w:pPr>
        <w:keepNext w:val="0"/>
        <w:keepLines w:val="0"/>
        <w:pageBreakBefore w:val="0"/>
        <w:widowControl/>
        <w:kinsoku/>
        <w:wordWrap/>
        <w:overflowPunct/>
        <w:topLinePunct w:val="0"/>
        <w:autoSpaceDE/>
        <w:autoSpaceDN/>
        <w:bidi w:val="0"/>
        <w:adjustRightInd/>
        <w:snapToGrid/>
        <w:spacing w:before="240" w:after="0"/>
        <w:textAlignment w:val="auto"/>
      </w:pPr>
      <w:r>
        <w:t>This indicates a mixed response, with some areas of welfare perceived as more efficient post-merger than others. Similar observations were made in a study by Nyaga and Karanja (2021), which reported that mergers in public service funds often enhance financial resilience for retirement programs but may lag in specialized support services, such as disability benefits.</w:t>
      </w:r>
    </w:p>
    <w:p>
      <w:pPr>
        <w:keepNext w:val="0"/>
        <w:keepLines w:val="0"/>
        <w:pageBreakBefore w:val="0"/>
        <w:widowControl/>
        <w:kinsoku/>
        <w:wordWrap/>
        <w:overflowPunct/>
        <w:topLinePunct w:val="0"/>
        <w:autoSpaceDE/>
        <w:autoSpaceDN/>
        <w:bidi w:val="0"/>
        <w:adjustRightInd/>
        <w:snapToGrid/>
        <w:spacing w:before="240" w:after="0"/>
        <w:textAlignment w:val="auto"/>
      </w:pPr>
      <w:r>
        <w:t xml:space="preserve">Participants expressed both optimism and concern regarding service changes post-merger. For example, one participant shared, </w:t>
      </w:r>
    </w:p>
    <w:p>
      <w:pPr>
        <w:keepNext w:val="0"/>
        <w:keepLines w:val="0"/>
        <w:pageBreakBefore w:val="0"/>
        <w:widowControl/>
        <w:kinsoku/>
        <w:wordWrap/>
        <w:overflowPunct/>
        <w:topLinePunct w:val="0"/>
        <w:autoSpaceDE/>
        <w:autoSpaceDN/>
        <w:bidi w:val="0"/>
        <w:adjustRightInd/>
        <w:snapToGrid/>
        <w:spacing w:before="240" w:after="0"/>
        <w:ind w:left="480" w:leftChars="200" w:firstLine="0" w:firstLineChars="0"/>
        <w:textAlignment w:val="auto"/>
      </w:pPr>
      <w:r>
        <w:rPr>
          <w:rFonts w:hint="default"/>
          <w:i/>
          <w:iCs/>
          <w:lang w:val="en-US"/>
        </w:rPr>
        <w:t>…</w:t>
      </w:r>
      <w:r>
        <w:rPr>
          <w:i/>
          <w:iCs/>
        </w:rPr>
        <w:t>“The merger has definitely improved overall welfare services, especially in terms of speed.”</w:t>
      </w:r>
      <w:r>
        <w:t xml:space="preserve"> Conversely, another stated, </w:t>
      </w:r>
      <w:r>
        <w:rPr>
          <w:i/>
          <w:iCs/>
        </w:rPr>
        <w:t>“There are still delays in processing some benefits, which has caused frustration among members.”</w:t>
      </w:r>
      <w:r>
        <w:t xml:space="preserve"> </w:t>
      </w:r>
    </w:p>
    <w:p>
      <w:pPr>
        <w:keepNext w:val="0"/>
        <w:keepLines w:val="0"/>
        <w:pageBreakBefore w:val="0"/>
        <w:widowControl/>
        <w:kinsoku/>
        <w:wordWrap/>
        <w:overflowPunct/>
        <w:topLinePunct w:val="0"/>
        <w:autoSpaceDE/>
        <w:autoSpaceDN/>
        <w:bidi w:val="0"/>
        <w:adjustRightInd/>
        <w:snapToGrid/>
        <w:spacing w:before="240" w:after="0"/>
        <w:textAlignment w:val="auto"/>
      </w:pPr>
      <w:r>
        <w:t>These perspectives highlight that while service delivery speed improved, certain administrative inefficiencies remain. Comparatively, Kinyua and Njuguna (2020) found that service improvement often follows mergers, though logistical issues may persist temporarily as organizations restructure.</w:t>
      </w:r>
    </w:p>
    <w:p>
      <w:pPr>
        <w:keepNext w:val="0"/>
        <w:keepLines w:val="0"/>
        <w:pageBreakBefore w:val="0"/>
        <w:widowControl/>
        <w:kinsoku/>
        <w:wordWrap/>
        <w:overflowPunct/>
        <w:topLinePunct w:val="0"/>
        <w:autoSpaceDE/>
        <w:autoSpaceDN/>
        <w:bidi w:val="0"/>
        <w:adjustRightInd/>
        <w:snapToGrid/>
        <w:spacing w:before="240" w:after="0"/>
        <w:textAlignment w:val="auto"/>
      </w:pPr>
      <w:r>
        <w:t xml:space="preserve">Feedback from beneficiaries revealed areas for further development. One participant noted, </w:t>
      </w:r>
    </w:p>
    <w:p>
      <w:pPr>
        <w:keepNext w:val="0"/>
        <w:keepLines w:val="0"/>
        <w:pageBreakBefore w:val="0"/>
        <w:widowControl/>
        <w:kinsoku/>
        <w:wordWrap/>
        <w:overflowPunct/>
        <w:topLinePunct w:val="0"/>
        <w:autoSpaceDE/>
        <w:autoSpaceDN/>
        <w:bidi w:val="0"/>
        <w:adjustRightInd/>
        <w:snapToGrid/>
        <w:spacing w:before="240" w:after="0"/>
        <w:ind w:left="480" w:leftChars="200" w:firstLine="0" w:firstLineChars="0"/>
        <w:textAlignment w:val="auto"/>
      </w:pPr>
      <w:r>
        <w:rPr>
          <w:rFonts w:hint="default"/>
          <w:i/>
          <w:iCs/>
          <w:lang w:val="en-US"/>
        </w:rPr>
        <w:t>…</w:t>
      </w:r>
      <w:r>
        <w:rPr>
          <w:i/>
          <w:iCs/>
        </w:rPr>
        <w:t>“Public servants feel their feedback is now considered, but some concerns about transparency remain.”</w:t>
      </w:r>
      <w:r>
        <w:t xml:space="preserve"> Another added, </w:t>
      </w:r>
      <w:r>
        <w:rPr>
          <w:i/>
          <w:iCs/>
        </w:rPr>
        <w:t>“PSSSF does listen to us, but response times to queries could be faster.”</w:t>
      </w:r>
      <w:r>
        <w:t xml:space="preserve"> </w:t>
      </w:r>
    </w:p>
    <w:p>
      <w:pPr>
        <w:keepNext w:val="0"/>
        <w:keepLines w:val="0"/>
        <w:pageBreakBefore w:val="0"/>
        <w:widowControl/>
        <w:kinsoku/>
        <w:wordWrap/>
        <w:overflowPunct/>
        <w:topLinePunct w:val="0"/>
        <w:autoSpaceDE/>
        <w:autoSpaceDN/>
        <w:bidi w:val="0"/>
        <w:adjustRightInd/>
        <w:snapToGrid/>
        <w:spacing w:before="240" w:after="0"/>
        <w:textAlignment w:val="auto"/>
      </w:pPr>
      <w:r>
        <w:t>These quotes underscore the importance of maintaining transparency and responsiveness to feedback, crucial for trust-building post-merger. Studies like Njoroge and Waweru (2019) echo this need, noting that active engagement and timely response can sustain member satisfaction during transitional periods in public service funds.</w:t>
      </w:r>
    </w:p>
    <w:p>
      <w:pPr>
        <w:pStyle w:val="3"/>
        <w:keepNext/>
        <w:keepLines/>
        <w:pageBreakBefore w:val="0"/>
        <w:widowControl/>
        <w:kinsoku/>
        <w:wordWrap/>
        <w:overflowPunct/>
        <w:topLinePunct w:val="0"/>
        <w:autoSpaceDE/>
        <w:autoSpaceDN/>
        <w:bidi w:val="0"/>
        <w:adjustRightInd/>
        <w:snapToGrid/>
        <w:spacing w:before="240" w:after="0"/>
        <w:textAlignment w:val="auto"/>
      </w:pPr>
      <w:bookmarkStart w:id="121" w:name="_Toc14471"/>
      <w:r>
        <w:t>4.3 Changes in Service Delivery and Administrative Efficiency of the PSSSF Following the Mergers and Acquisitions</w:t>
      </w:r>
      <w:bookmarkEnd w:id="121"/>
    </w:p>
    <w:p>
      <w:r>
        <w:t>The study assessed various aspects of service delivery and administrative efficiency of the Public Service Social Security Fund (PSSSF) after its mergers and acquisitions. The results reveal both positive changes and areas requiring further improvement.</w:t>
      </w:r>
    </w:p>
    <w:p>
      <w:pPr>
        <w:pStyle w:val="4"/>
        <w:keepNext/>
        <w:keepLines/>
        <w:pageBreakBefore w:val="0"/>
        <w:widowControl/>
        <w:kinsoku/>
        <w:wordWrap/>
        <w:overflowPunct/>
        <w:topLinePunct w:val="0"/>
        <w:autoSpaceDE/>
        <w:autoSpaceDN/>
        <w:bidi w:val="0"/>
        <w:adjustRightInd/>
        <w:snapToGrid/>
        <w:spacing w:before="240" w:after="0"/>
        <w:textAlignment w:val="auto"/>
      </w:pPr>
      <w:bookmarkStart w:id="122" w:name="_Toc21316"/>
      <w:r>
        <w:t>4.3.1 Service Delivery Rating</w:t>
      </w:r>
      <w:bookmarkEnd w:id="122"/>
    </w:p>
    <w:p>
      <w:r>
        <w:t xml:space="preserve">Table 4.3 presents the ratings of service delivery post-merger. In terms of overall service delivery post-merger, the majority of respondents rated the service as either Good or Excellent, with 178 (58.7%) indicating their satisfaction with the service quality after the merger. </w:t>
      </w:r>
    </w:p>
    <w:p>
      <w:pPr>
        <w:pStyle w:val="12"/>
        <w:keepNext/>
        <w:rPr>
          <w:b/>
          <w:bCs/>
          <w:color w:val="auto"/>
          <w:sz w:val="24"/>
          <w:szCs w:val="24"/>
        </w:rPr>
      </w:pPr>
      <w:bookmarkStart w:id="123" w:name="_Toc182070291"/>
      <w:r>
        <w:rPr>
          <w:b/>
          <w:bCs/>
          <w:color w:val="auto"/>
          <w:sz w:val="24"/>
          <w:szCs w:val="24"/>
        </w:rPr>
        <w:t>Table 4.</w:t>
      </w:r>
      <w:r>
        <w:rPr>
          <w:b/>
          <w:bCs/>
          <w:color w:val="auto"/>
          <w:sz w:val="24"/>
          <w:szCs w:val="24"/>
        </w:rPr>
        <w:fldChar w:fldCharType="begin"/>
      </w:r>
      <w:r>
        <w:rPr>
          <w:b/>
          <w:bCs/>
          <w:color w:val="auto"/>
          <w:sz w:val="24"/>
          <w:szCs w:val="24"/>
        </w:rPr>
        <w:instrText xml:space="preserve"> SEQ Table \* ARABIC </w:instrText>
      </w:r>
      <w:r>
        <w:rPr>
          <w:b/>
          <w:bCs/>
          <w:color w:val="auto"/>
          <w:sz w:val="24"/>
          <w:szCs w:val="24"/>
        </w:rPr>
        <w:fldChar w:fldCharType="separate"/>
      </w:r>
      <w:r>
        <w:rPr>
          <w:b/>
          <w:bCs/>
          <w:color w:val="auto"/>
          <w:sz w:val="24"/>
          <w:szCs w:val="24"/>
        </w:rPr>
        <w:t>3</w:t>
      </w:r>
      <w:r>
        <w:rPr>
          <w:b/>
          <w:bCs/>
          <w:color w:val="auto"/>
          <w:sz w:val="24"/>
          <w:szCs w:val="24"/>
        </w:rPr>
        <w:fldChar w:fldCharType="end"/>
      </w:r>
      <w:r>
        <w:rPr>
          <w:b/>
          <w:bCs/>
          <w:color w:val="auto"/>
          <w:sz w:val="24"/>
          <w:szCs w:val="24"/>
        </w:rPr>
        <w:t>: Service Delivery Rating</w:t>
      </w:r>
      <w:bookmarkEnd w:id="123"/>
    </w:p>
    <w:tbl>
      <w:tblPr>
        <w:tblStyle w:val="21"/>
        <w:tblW w:w="8635" w:type="dxa"/>
        <w:tblInd w:w="0" w:type="dxa"/>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Layout w:type="autofit"/>
        <w:tblCellMar>
          <w:top w:w="0" w:type="dxa"/>
          <w:left w:w="108" w:type="dxa"/>
          <w:bottom w:w="0" w:type="dxa"/>
          <w:right w:w="108" w:type="dxa"/>
        </w:tblCellMar>
      </w:tblPr>
      <w:tblGrid>
        <w:gridCol w:w="2642"/>
        <w:gridCol w:w="2933"/>
        <w:gridCol w:w="3060"/>
      </w:tblGrid>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Service Delivery Rating</w:t>
            </w:r>
          </w:p>
        </w:tc>
        <w:tc>
          <w:tcPr>
            <w:tcW w:w="2933"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Frequency (n)</w:t>
            </w:r>
          </w:p>
        </w:tc>
        <w:tc>
          <w:tcPr>
            <w:tcW w:w="3060"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Percentage (%)</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Excellent</w:t>
            </w:r>
          </w:p>
        </w:tc>
        <w:tc>
          <w:tcPr>
            <w:tcW w:w="2933"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80</w:t>
            </w:r>
          </w:p>
        </w:tc>
        <w:tc>
          <w:tcPr>
            <w:tcW w:w="3060"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26.7%</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Good</w:t>
            </w:r>
          </w:p>
        </w:tc>
        <w:tc>
          <w:tcPr>
            <w:tcW w:w="2933"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98</w:t>
            </w:r>
          </w:p>
        </w:tc>
        <w:tc>
          <w:tcPr>
            <w:tcW w:w="306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32.0%</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Average</w:t>
            </w:r>
          </w:p>
        </w:tc>
        <w:tc>
          <w:tcPr>
            <w:tcW w:w="2933"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101</w:t>
            </w:r>
          </w:p>
        </w:tc>
        <w:tc>
          <w:tcPr>
            <w:tcW w:w="306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33.3%</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Poor</w:t>
            </w:r>
          </w:p>
        </w:tc>
        <w:tc>
          <w:tcPr>
            <w:tcW w:w="2933"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16</w:t>
            </w:r>
          </w:p>
        </w:tc>
        <w:tc>
          <w:tcPr>
            <w:tcW w:w="306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5.3%</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Very Poor</w:t>
            </w:r>
          </w:p>
        </w:tc>
        <w:tc>
          <w:tcPr>
            <w:tcW w:w="2933"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5</w:t>
            </w:r>
          </w:p>
        </w:tc>
        <w:tc>
          <w:tcPr>
            <w:tcW w:w="3060"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1.7%</w:t>
            </w:r>
          </w:p>
        </w:tc>
      </w:tr>
    </w:tbl>
    <w:p>
      <w:r>
        <w:t>Source: research data,(2024)</w:t>
      </w:r>
    </w:p>
    <w:p>
      <w:pPr>
        <w:pageBreakBefore w:val="0"/>
        <w:widowControl/>
        <w:kinsoku/>
        <w:wordWrap/>
        <w:overflowPunct/>
        <w:topLinePunct w:val="0"/>
        <w:autoSpaceDE/>
        <w:autoSpaceDN/>
        <w:bidi w:val="0"/>
        <w:adjustRightInd/>
        <w:snapToGrid/>
        <w:spacing w:before="240" w:after="0"/>
        <w:textAlignment w:val="auto"/>
      </w:pPr>
      <w:r>
        <w:t>This suggests that the PSSSF's efforts to streamline services and improve member satisfaction have had a noticeable impact. A smaller proportion of members, however, rated service delivery as Average (101, 33.3%) or Poor (16, 5.3%), signaling that there are areas of the service that still require attention. These findings align with those of Mashanda et al. (2022), who observed improvements in service delivery after mergers in other social security funds across Sub-Saharan Africa. However, Kariuki et al. (2021) found that in some mergers, service delivery remained largely unchanged or even declined, indicating that the success of such improvements can be inconsistent depending on the management of the merger process.</w:t>
      </w:r>
    </w:p>
    <w:p>
      <w:pPr>
        <w:pageBreakBefore w:val="0"/>
        <w:widowControl/>
        <w:kinsoku/>
        <w:wordWrap/>
        <w:overflowPunct/>
        <w:topLinePunct w:val="0"/>
        <w:autoSpaceDE/>
        <w:autoSpaceDN/>
        <w:bidi w:val="0"/>
        <w:adjustRightInd/>
        <w:snapToGrid/>
        <w:spacing w:before="240" w:after="0"/>
        <w:jc w:val="center"/>
        <w:textAlignment w:val="auto"/>
      </w:pPr>
      <w:r>
        <w:t xml:space="preserve">Participants observed notable shifts in service delivery efficiency. One commented, </w:t>
      </w:r>
      <w:r>
        <w:rPr>
          <w:i/>
          <w:iCs/>
        </w:rPr>
        <w:t>“Service delivery is faster now, and I can access more services online.”</w:t>
      </w:r>
    </w:p>
    <w:p>
      <w:r>
        <w:t xml:space="preserve">Another participant shared, </w:t>
      </w:r>
    </w:p>
    <w:p>
      <w:pPr>
        <w:jc w:val="center"/>
      </w:pPr>
      <w:r>
        <w:rPr>
          <w:i/>
          <w:iCs/>
        </w:rPr>
        <w:t>“Accessibility has improved, but quality control still needs attention.”</w:t>
      </w:r>
    </w:p>
    <w:p>
      <w:pPr>
        <w:pageBreakBefore w:val="0"/>
        <w:widowControl/>
        <w:kinsoku/>
        <w:wordWrap/>
        <w:overflowPunct/>
        <w:topLinePunct w:val="0"/>
        <w:autoSpaceDE/>
        <w:autoSpaceDN/>
        <w:bidi w:val="0"/>
        <w:adjustRightInd/>
        <w:snapToGrid/>
        <w:spacing w:before="240" w:after="0"/>
        <w:textAlignment w:val="auto"/>
      </w:pPr>
      <w:r>
        <w:t>This suggests that digital platforms have enhanced accessibility, though quality consistency remains a priority. In line with this, a study by Mwangi and Oduor (2022) demonstrated that mergers enhance public service efficiency through technology, yet ensuring uniform quality can pose an initial challenge.</w:t>
      </w:r>
    </w:p>
    <w:p>
      <w:pPr>
        <w:pageBreakBefore w:val="0"/>
        <w:widowControl/>
        <w:kinsoku/>
        <w:wordWrap/>
        <w:overflowPunct/>
        <w:topLinePunct w:val="0"/>
        <w:autoSpaceDE/>
        <w:autoSpaceDN/>
        <w:bidi w:val="0"/>
        <w:adjustRightInd/>
        <w:snapToGrid/>
        <w:spacing w:before="240" w:after="0" w:line="360" w:lineRule="auto"/>
        <w:textAlignment w:val="auto"/>
      </w:pPr>
      <w:r>
        <w:t xml:space="preserve">Qualitative findings also revealed persisting challenges. One participant stated, </w:t>
      </w:r>
    </w:p>
    <w:p>
      <w:pPr>
        <w:ind w:left="720"/>
        <w:jc w:val="center"/>
      </w:pPr>
      <w:r>
        <w:rPr>
          <w:i/>
          <w:iCs/>
        </w:rPr>
        <w:t>“Some areas experience delays in benefit processing, especially for disability claims.”</w:t>
      </w:r>
      <w:r>
        <w:t xml:space="preserve"> Another mentioned, </w:t>
      </w:r>
      <w:r>
        <w:rPr>
          <w:i/>
          <w:iCs/>
        </w:rPr>
        <w:t>“Service delivery varies by location; rural areas still face access issues.”</w:t>
      </w:r>
    </w:p>
    <w:p>
      <w:pPr>
        <w:pageBreakBefore w:val="0"/>
        <w:widowControl/>
        <w:kinsoku/>
        <w:wordWrap/>
        <w:overflowPunct/>
        <w:topLinePunct w:val="0"/>
        <w:autoSpaceDE/>
        <w:autoSpaceDN/>
        <w:bidi w:val="0"/>
        <w:adjustRightInd/>
        <w:snapToGrid/>
        <w:spacing w:before="240" w:after="0" w:line="360" w:lineRule="auto"/>
        <w:textAlignment w:val="auto"/>
      </w:pPr>
      <w:r>
        <w:t>This disparity in service quality aligns with findings by Otieno and Ngugi (2021), who noted that administrative consolidation often benefits urban centers faster than rural regions, creating uneven service delivery post-merger.</w:t>
      </w:r>
    </w:p>
    <w:p>
      <w:pPr>
        <w:pStyle w:val="4"/>
        <w:keepNext/>
        <w:keepLines/>
        <w:pageBreakBefore w:val="0"/>
        <w:widowControl/>
        <w:kinsoku/>
        <w:wordWrap/>
        <w:overflowPunct/>
        <w:topLinePunct w:val="0"/>
        <w:autoSpaceDE/>
        <w:autoSpaceDN/>
        <w:bidi w:val="0"/>
        <w:adjustRightInd/>
        <w:snapToGrid/>
        <w:spacing w:before="240" w:after="0" w:line="360" w:lineRule="auto"/>
        <w:textAlignment w:val="auto"/>
      </w:pPr>
      <w:bookmarkStart w:id="124" w:name="_Toc17715"/>
      <w:r>
        <w:t>4.3.2 Administrative Efficiency Changes</w:t>
      </w:r>
      <w:bookmarkEnd w:id="124"/>
    </w:p>
    <w:p>
      <w:r>
        <w:t>As shown in Table 4.4, 210 (70.0%) of the respondents observed Significant Improvement or Some Improvement in administrative efficiency post-merger. A smaller proportion, 51 (17.0%), noted No Change, while 19 (6.3%) reported a Decline in administrative efficiency, indicating that not all members benefited equally from the changes.</w:t>
      </w:r>
    </w:p>
    <w:p>
      <w:pPr>
        <w:pStyle w:val="12"/>
        <w:keepNext/>
        <w:pageBreakBefore w:val="0"/>
        <w:widowControl/>
        <w:kinsoku/>
        <w:wordWrap/>
        <w:overflowPunct/>
        <w:topLinePunct w:val="0"/>
        <w:autoSpaceDE/>
        <w:autoSpaceDN/>
        <w:bidi w:val="0"/>
        <w:adjustRightInd/>
        <w:snapToGrid/>
        <w:spacing w:before="240" w:after="0" w:line="360" w:lineRule="auto"/>
        <w:textAlignment w:val="auto"/>
        <w:rPr>
          <w:b/>
          <w:bCs/>
          <w:color w:val="auto"/>
          <w:sz w:val="24"/>
          <w:szCs w:val="24"/>
        </w:rPr>
      </w:pPr>
      <w:bookmarkStart w:id="125" w:name="_Toc182070292"/>
      <w:r>
        <w:rPr>
          <w:b/>
          <w:bCs/>
          <w:color w:val="auto"/>
          <w:sz w:val="24"/>
          <w:szCs w:val="24"/>
        </w:rPr>
        <w:t>Table 4.</w:t>
      </w:r>
      <w:r>
        <w:rPr>
          <w:b/>
          <w:bCs/>
          <w:color w:val="auto"/>
          <w:sz w:val="24"/>
          <w:szCs w:val="24"/>
        </w:rPr>
        <w:fldChar w:fldCharType="begin"/>
      </w:r>
      <w:r>
        <w:rPr>
          <w:b/>
          <w:bCs/>
          <w:color w:val="auto"/>
          <w:sz w:val="24"/>
          <w:szCs w:val="24"/>
        </w:rPr>
        <w:instrText xml:space="preserve"> SEQ Table \* ARABIC </w:instrText>
      </w:r>
      <w:r>
        <w:rPr>
          <w:b/>
          <w:bCs/>
          <w:color w:val="auto"/>
          <w:sz w:val="24"/>
          <w:szCs w:val="24"/>
        </w:rPr>
        <w:fldChar w:fldCharType="separate"/>
      </w:r>
      <w:r>
        <w:rPr>
          <w:b/>
          <w:bCs/>
          <w:color w:val="auto"/>
          <w:sz w:val="24"/>
          <w:szCs w:val="24"/>
        </w:rPr>
        <w:t>4</w:t>
      </w:r>
      <w:r>
        <w:rPr>
          <w:b/>
          <w:bCs/>
          <w:color w:val="auto"/>
          <w:sz w:val="24"/>
          <w:szCs w:val="24"/>
        </w:rPr>
        <w:fldChar w:fldCharType="end"/>
      </w:r>
      <w:r>
        <w:rPr>
          <w:b/>
          <w:bCs/>
          <w:color w:val="auto"/>
          <w:sz w:val="24"/>
          <w:szCs w:val="24"/>
        </w:rPr>
        <w:t>: Administrative Efficiency Changes</w:t>
      </w:r>
      <w:bookmarkEnd w:id="125"/>
    </w:p>
    <w:tbl>
      <w:tblPr>
        <w:tblStyle w:val="21"/>
        <w:tblW w:w="8635" w:type="dxa"/>
        <w:tblInd w:w="0" w:type="dxa"/>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Layout w:type="autofit"/>
        <w:tblCellMar>
          <w:top w:w="0" w:type="dxa"/>
          <w:left w:w="108" w:type="dxa"/>
          <w:bottom w:w="0" w:type="dxa"/>
          <w:right w:w="108" w:type="dxa"/>
        </w:tblCellMar>
      </w:tblPr>
      <w:tblGrid>
        <w:gridCol w:w="4315"/>
        <w:gridCol w:w="1440"/>
        <w:gridCol w:w="2880"/>
      </w:tblGrid>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4315"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Administrative Efficiency Changes</w:t>
            </w:r>
          </w:p>
        </w:tc>
        <w:tc>
          <w:tcPr>
            <w:tcW w:w="1440"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Frequency (n)</w:t>
            </w:r>
          </w:p>
        </w:tc>
        <w:tc>
          <w:tcPr>
            <w:tcW w:w="2880"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Percentage (%)</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4315"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Significant Improvement</w:t>
            </w:r>
          </w:p>
        </w:tc>
        <w:tc>
          <w:tcPr>
            <w:tcW w:w="1440"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129</w:t>
            </w:r>
          </w:p>
        </w:tc>
        <w:tc>
          <w:tcPr>
            <w:tcW w:w="2880"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43.0%</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4315"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Some Improvement</w:t>
            </w:r>
          </w:p>
        </w:tc>
        <w:tc>
          <w:tcPr>
            <w:tcW w:w="144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81</w:t>
            </w:r>
          </w:p>
        </w:tc>
        <w:tc>
          <w:tcPr>
            <w:tcW w:w="288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27.0%</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4315"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No Change</w:t>
            </w:r>
          </w:p>
        </w:tc>
        <w:tc>
          <w:tcPr>
            <w:tcW w:w="144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51</w:t>
            </w:r>
          </w:p>
        </w:tc>
        <w:tc>
          <w:tcPr>
            <w:tcW w:w="288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17.0%</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4315"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Some Decline</w:t>
            </w:r>
          </w:p>
        </w:tc>
        <w:tc>
          <w:tcPr>
            <w:tcW w:w="144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13</w:t>
            </w:r>
          </w:p>
        </w:tc>
        <w:tc>
          <w:tcPr>
            <w:tcW w:w="288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4.3%</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4315"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Significant Decline</w:t>
            </w:r>
          </w:p>
        </w:tc>
        <w:tc>
          <w:tcPr>
            <w:tcW w:w="1440"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6</w:t>
            </w:r>
          </w:p>
        </w:tc>
        <w:tc>
          <w:tcPr>
            <w:tcW w:w="2880"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2.0%</w:t>
            </w:r>
          </w:p>
        </w:tc>
      </w:tr>
    </w:tbl>
    <w:p>
      <w:r>
        <w:t>Source: research data,(2024)</w:t>
      </w:r>
    </w:p>
    <w:p>
      <w:pPr>
        <w:pageBreakBefore w:val="0"/>
        <w:widowControl/>
        <w:kinsoku/>
        <w:wordWrap/>
        <w:overflowPunct/>
        <w:topLinePunct w:val="0"/>
        <w:autoSpaceDE/>
        <w:autoSpaceDN/>
        <w:bidi w:val="0"/>
        <w:adjustRightInd/>
        <w:snapToGrid/>
        <w:spacing w:before="240" w:after="0" w:line="360" w:lineRule="auto"/>
        <w:textAlignment w:val="auto"/>
      </w:pPr>
      <w:r>
        <w:t xml:space="preserve">Administrative efficiency received mixed feedback. A participant observed, </w:t>
      </w:r>
    </w:p>
    <w:p>
      <w:pPr>
        <w:ind w:left="720"/>
        <w:jc w:val="center"/>
      </w:pPr>
      <w:r>
        <w:rPr>
          <w:i/>
          <w:iCs/>
        </w:rPr>
        <w:t>“The processes have become more streamlined, making applications easier.”</w:t>
      </w:r>
      <w:r>
        <w:t xml:space="preserve"> Conversely, another mentioned, </w:t>
      </w:r>
      <w:r>
        <w:rPr>
          <w:i/>
          <w:iCs/>
        </w:rPr>
        <w:t>“Staff shortages seem to have increased waiting times for some services.”</w:t>
      </w:r>
    </w:p>
    <w:p>
      <w:pPr>
        <w:pageBreakBefore w:val="0"/>
        <w:widowControl/>
        <w:kinsoku/>
        <w:wordWrap/>
        <w:overflowPunct/>
        <w:topLinePunct w:val="0"/>
        <w:autoSpaceDE/>
        <w:autoSpaceDN/>
        <w:bidi w:val="0"/>
        <w:adjustRightInd/>
        <w:snapToGrid/>
        <w:spacing w:before="240" w:after="0" w:line="360" w:lineRule="auto"/>
        <w:textAlignment w:val="auto"/>
      </w:pPr>
      <w:r>
        <w:t>This illustrates that while some processes are more efficient, resource constraints may limit consistent service delivery. Previous studies, such as one by Kirui and Kosgei (2019), found that mergers improve administrative structure but may require time and resource reallocation to achieve optimal efficiency.</w:t>
      </w:r>
    </w:p>
    <w:p>
      <w:pPr>
        <w:pageBreakBefore w:val="0"/>
        <w:widowControl/>
        <w:kinsoku/>
        <w:wordWrap/>
        <w:overflowPunct/>
        <w:topLinePunct w:val="0"/>
        <w:autoSpaceDE/>
        <w:autoSpaceDN/>
        <w:bidi w:val="0"/>
        <w:adjustRightInd/>
        <w:snapToGrid/>
        <w:spacing w:before="240" w:after="0" w:line="360" w:lineRule="auto"/>
        <w:textAlignment w:val="auto"/>
      </w:pPr>
      <w:r>
        <w:t>These findings point to the fact that while most members observed improvements, there is a portion of the population that did not experience any substantial gains or, in some cases, perceived a drop in efficiency. Similar trends were seen in studies by Sefela (2019) in Kenya, where public pension schemes reported improved administrative efficiency after mergers, while Obuya et al. (2022) highlighted that poorly managed mergers could lead to operational inefficiencies.</w:t>
      </w:r>
    </w:p>
    <w:p>
      <w:pPr>
        <w:pStyle w:val="4"/>
        <w:pageBreakBefore w:val="0"/>
        <w:widowControl/>
        <w:kinsoku/>
        <w:wordWrap/>
        <w:overflowPunct/>
        <w:topLinePunct w:val="0"/>
        <w:autoSpaceDE/>
        <w:autoSpaceDN/>
        <w:bidi w:val="0"/>
        <w:adjustRightInd/>
        <w:snapToGrid/>
        <w:spacing w:before="240" w:after="0" w:line="360" w:lineRule="auto"/>
        <w:textAlignment w:val="auto"/>
      </w:pPr>
      <w:bookmarkStart w:id="126" w:name="_Toc14625"/>
      <w:r>
        <w:t>4.3.3 Improvements in Service Delivery</w:t>
      </w:r>
      <w:bookmarkEnd w:id="126"/>
    </w:p>
    <w:p>
      <w:r>
        <w:t xml:space="preserve">Table 4.5 shows the aspects of service delivery that respondents felt had improved the most. The aspects of service delivery that were most frequently cited as having improved post-merger were Speed of Service (156, 52.0%) and Quality of Service (149, 49.7%), followed by Customer Support (125, 41.7%). These improvements likely reflect efforts by the PSSSF to enhance member experiences and address service bottlenecks. </w:t>
      </w:r>
    </w:p>
    <w:p/>
    <w:p>
      <w:pPr>
        <w:pStyle w:val="12"/>
        <w:keepNext/>
        <w:pageBreakBefore w:val="0"/>
        <w:widowControl/>
        <w:kinsoku/>
        <w:wordWrap/>
        <w:overflowPunct/>
        <w:topLinePunct w:val="0"/>
        <w:autoSpaceDE/>
        <w:autoSpaceDN/>
        <w:bidi w:val="0"/>
        <w:adjustRightInd/>
        <w:snapToGrid/>
        <w:spacing w:before="240" w:after="0" w:line="360" w:lineRule="auto"/>
        <w:textAlignment w:val="auto"/>
        <w:rPr>
          <w:b/>
          <w:bCs/>
          <w:color w:val="auto"/>
          <w:sz w:val="24"/>
          <w:szCs w:val="24"/>
        </w:rPr>
      </w:pPr>
      <w:bookmarkStart w:id="127" w:name="_Toc182070293"/>
      <w:r>
        <w:rPr>
          <w:b/>
          <w:bCs/>
          <w:color w:val="auto"/>
          <w:sz w:val="24"/>
          <w:szCs w:val="24"/>
        </w:rPr>
        <w:t xml:space="preserve">Table </w:t>
      </w:r>
      <w:r>
        <w:rPr>
          <w:b/>
          <w:bCs/>
          <w:color w:val="auto"/>
          <w:sz w:val="24"/>
          <w:szCs w:val="24"/>
        </w:rPr>
        <w:fldChar w:fldCharType="begin"/>
      </w:r>
      <w:r>
        <w:rPr>
          <w:b/>
          <w:bCs/>
          <w:color w:val="auto"/>
          <w:sz w:val="24"/>
          <w:szCs w:val="24"/>
        </w:rPr>
        <w:instrText xml:space="preserve"> SEQ Table \* ARABIC </w:instrText>
      </w:r>
      <w:r>
        <w:rPr>
          <w:b/>
          <w:bCs/>
          <w:color w:val="auto"/>
          <w:sz w:val="24"/>
          <w:szCs w:val="24"/>
        </w:rPr>
        <w:fldChar w:fldCharType="separate"/>
      </w:r>
      <w:r>
        <w:rPr>
          <w:b/>
          <w:bCs/>
          <w:color w:val="auto"/>
          <w:sz w:val="24"/>
          <w:szCs w:val="24"/>
        </w:rPr>
        <w:t>5</w:t>
      </w:r>
      <w:r>
        <w:rPr>
          <w:b/>
          <w:bCs/>
          <w:color w:val="auto"/>
          <w:sz w:val="24"/>
          <w:szCs w:val="24"/>
        </w:rPr>
        <w:fldChar w:fldCharType="end"/>
      </w:r>
      <w:r>
        <w:rPr>
          <w:b/>
          <w:bCs/>
          <w:color w:val="auto"/>
          <w:sz w:val="24"/>
          <w:szCs w:val="24"/>
        </w:rPr>
        <w:t>: Improvements in Service Delivery</w:t>
      </w:r>
      <w:bookmarkEnd w:id="127"/>
    </w:p>
    <w:tbl>
      <w:tblPr>
        <w:tblStyle w:val="21"/>
        <w:tblW w:w="8635" w:type="dxa"/>
        <w:tblInd w:w="0" w:type="dxa"/>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Layout w:type="autofit"/>
        <w:tblCellMar>
          <w:top w:w="0" w:type="dxa"/>
          <w:left w:w="108" w:type="dxa"/>
          <w:bottom w:w="0" w:type="dxa"/>
          <w:right w:w="108" w:type="dxa"/>
        </w:tblCellMar>
      </w:tblPr>
      <w:tblGrid>
        <w:gridCol w:w="4135"/>
        <w:gridCol w:w="1620"/>
        <w:gridCol w:w="2880"/>
      </w:tblGrid>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4135"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Aspects of Service Delivery Improvement</w:t>
            </w:r>
          </w:p>
        </w:tc>
        <w:tc>
          <w:tcPr>
            <w:tcW w:w="1620"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Frequency (n)</w:t>
            </w:r>
          </w:p>
        </w:tc>
        <w:tc>
          <w:tcPr>
            <w:tcW w:w="2880"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Percentage (%)</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4135"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Speed of Service</w:t>
            </w:r>
          </w:p>
        </w:tc>
        <w:tc>
          <w:tcPr>
            <w:tcW w:w="1620"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156</w:t>
            </w:r>
          </w:p>
        </w:tc>
        <w:tc>
          <w:tcPr>
            <w:tcW w:w="2880"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52.0%</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4135"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Quality of Service</w:t>
            </w:r>
          </w:p>
        </w:tc>
        <w:tc>
          <w:tcPr>
            <w:tcW w:w="162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149</w:t>
            </w:r>
          </w:p>
        </w:tc>
        <w:tc>
          <w:tcPr>
            <w:tcW w:w="288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49.7%</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4135"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Accessibility of Services</w:t>
            </w:r>
          </w:p>
        </w:tc>
        <w:tc>
          <w:tcPr>
            <w:tcW w:w="162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92</w:t>
            </w:r>
          </w:p>
        </w:tc>
        <w:tc>
          <w:tcPr>
            <w:tcW w:w="288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30.7%</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4135"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Customer Support</w:t>
            </w:r>
          </w:p>
        </w:tc>
        <w:tc>
          <w:tcPr>
            <w:tcW w:w="162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125</w:t>
            </w:r>
          </w:p>
        </w:tc>
        <w:tc>
          <w:tcPr>
            <w:tcW w:w="288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41.7%</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4135"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Other (Please specify)</w:t>
            </w:r>
          </w:p>
        </w:tc>
        <w:tc>
          <w:tcPr>
            <w:tcW w:w="1620"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30</w:t>
            </w:r>
          </w:p>
        </w:tc>
        <w:tc>
          <w:tcPr>
            <w:tcW w:w="2880"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10.0%</w:t>
            </w:r>
          </w:p>
        </w:tc>
      </w:tr>
    </w:tbl>
    <w:p>
      <w:r>
        <w:t>Source: research data,(2024)</w:t>
      </w:r>
    </w:p>
    <w:p>
      <w:r>
        <w:t>Accessibility of Services was ranked lower, with only 92 (30.7%) citing improvements in this area, suggesting that some members still face barriers to accessing services, which may need further attention. This aligns with the findings of Nyanzi and Ochieng (2020), who reported significant improvements in service speed and quality after mergers in Uganda, although accessibility remained a challenge in some cases. Similarly, Magambo et al. (2023) found that service improvements in terms of speed and quality were common post-merger, but issues with accessibility persisted in more rural areas.</w:t>
      </w:r>
    </w:p>
    <w:p>
      <w:pPr>
        <w:pStyle w:val="4"/>
        <w:pageBreakBefore w:val="0"/>
        <w:widowControl/>
        <w:kinsoku/>
        <w:wordWrap/>
        <w:overflowPunct/>
        <w:topLinePunct w:val="0"/>
        <w:autoSpaceDE/>
        <w:autoSpaceDN/>
        <w:bidi w:val="0"/>
        <w:adjustRightInd/>
        <w:snapToGrid/>
        <w:spacing w:before="240" w:after="0" w:line="360" w:lineRule="auto"/>
        <w:textAlignment w:val="auto"/>
      </w:pPr>
      <w:bookmarkStart w:id="128" w:name="_Toc3984"/>
      <w:r>
        <w:t>4.3.4 Administrative Process Satisfaction</w:t>
      </w:r>
      <w:bookmarkEnd w:id="128"/>
    </w:p>
    <w:p>
      <w:r>
        <w:t>In terms of satisfaction with administrative processes, a majority, 179 (59.7%), were either Very Satisfied or Satisfied with post-merger administrative processes. However, 22 (7.3%) respondents were Dissatisfied or Very Dissatisfied, pointing to persistent issues in this area.</w:t>
      </w:r>
    </w:p>
    <w:p>
      <w:pPr>
        <w:pStyle w:val="12"/>
        <w:keepNext/>
        <w:pageBreakBefore w:val="0"/>
        <w:widowControl/>
        <w:kinsoku/>
        <w:wordWrap/>
        <w:overflowPunct/>
        <w:topLinePunct w:val="0"/>
        <w:autoSpaceDE/>
        <w:autoSpaceDN/>
        <w:bidi w:val="0"/>
        <w:adjustRightInd/>
        <w:snapToGrid/>
        <w:spacing w:before="240" w:after="0" w:line="360" w:lineRule="auto"/>
        <w:textAlignment w:val="auto"/>
        <w:rPr>
          <w:b/>
          <w:bCs/>
          <w:color w:val="auto"/>
          <w:sz w:val="24"/>
          <w:szCs w:val="24"/>
        </w:rPr>
      </w:pPr>
      <w:bookmarkStart w:id="129" w:name="_Toc182070294"/>
      <w:r>
        <w:rPr>
          <w:b/>
          <w:bCs/>
          <w:color w:val="auto"/>
          <w:sz w:val="24"/>
          <w:szCs w:val="24"/>
        </w:rPr>
        <w:t>Table 4.</w:t>
      </w:r>
      <w:r>
        <w:rPr>
          <w:b/>
          <w:bCs/>
          <w:color w:val="auto"/>
          <w:sz w:val="24"/>
          <w:szCs w:val="24"/>
        </w:rPr>
        <w:fldChar w:fldCharType="begin"/>
      </w:r>
      <w:r>
        <w:rPr>
          <w:b/>
          <w:bCs/>
          <w:color w:val="auto"/>
          <w:sz w:val="24"/>
          <w:szCs w:val="24"/>
        </w:rPr>
        <w:instrText xml:space="preserve"> SEQ Table \* ARABIC </w:instrText>
      </w:r>
      <w:r>
        <w:rPr>
          <w:b/>
          <w:bCs/>
          <w:color w:val="auto"/>
          <w:sz w:val="24"/>
          <w:szCs w:val="24"/>
        </w:rPr>
        <w:fldChar w:fldCharType="separate"/>
      </w:r>
      <w:r>
        <w:rPr>
          <w:b/>
          <w:bCs/>
          <w:color w:val="auto"/>
          <w:sz w:val="24"/>
          <w:szCs w:val="24"/>
        </w:rPr>
        <w:t>6</w:t>
      </w:r>
      <w:r>
        <w:rPr>
          <w:b/>
          <w:bCs/>
          <w:color w:val="auto"/>
          <w:sz w:val="24"/>
          <w:szCs w:val="24"/>
        </w:rPr>
        <w:fldChar w:fldCharType="end"/>
      </w:r>
      <w:r>
        <w:rPr>
          <w:b/>
          <w:bCs/>
          <w:color w:val="auto"/>
          <w:sz w:val="24"/>
          <w:szCs w:val="24"/>
        </w:rPr>
        <w:t>: Administrative Process Satisfaction</w:t>
      </w:r>
      <w:bookmarkEnd w:id="129"/>
    </w:p>
    <w:tbl>
      <w:tblPr>
        <w:tblStyle w:val="21"/>
        <w:tblW w:w="8635" w:type="dxa"/>
        <w:tblInd w:w="0" w:type="dxa"/>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Layout w:type="autofit"/>
        <w:tblCellMar>
          <w:top w:w="0" w:type="dxa"/>
          <w:left w:w="108" w:type="dxa"/>
          <w:bottom w:w="0" w:type="dxa"/>
          <w:right w:w="108" w:type="dxa"/>
        </w:tblCellMar>
      </w:tblPr>
      <w:tblGrid>
        <w:gridCol w:w="3856"/>
        <w:gridCol w:w="1989"/>
        <w:gridCol w:w="2790"/>
      </w:tblGrid>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Administrative Process Satisfaction</w:t>
            </w:r>
          </w:p>
        </w:tc>
        <w:tc>
          <w:tcPr>
            <w:tcW w:w="1989"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Frequency (n)</w:t>
            </w:r>
          </w:p>
        </w:tc>
        <w:tc>
          <w:tcPr>
            <w:tcW w:w="2790"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Percentage (%)</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Very Satisfied</w:t>
            </w:r>
          </w:p>
        </w:tc>
        <w:tc>
          <w:tcPr>
            <w:tcW w:w="1989"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110</w:t>
            </w:r>
          </w:p>
        </w:tc>
        <w:tc>
          <w:tcPr>
            <w:tcW w:w="2790"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36.7%</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Satisfied</w:t>
            </w:r>
          </w:p>
        </w:tc>
        <w:tc>
          <w:tcPr>
            <w:tcW w:w="1989"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69</w:t>
            </w:r>
          </w:p>
        </w:tc>
        <w:tc>
          <w:tcPr>
            <w:tcW w:w="279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23.0%</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Neutral</w:t>
            </w:r>
          </w:p>
        </w:tc>
        <w:tc>
          <w:tcPr>
            <w:tcW w:w="1989"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88</w:t>
            </w:r>
          </w:p>
        </w:tc>
        <w:tc>
          <w:tcPr>
            <w:tcW w:w="279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29.3%</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Dissatisfied</w:t>
            </w:r>
          </w:p>
        </w:tc>
        <w:tc>
          <w:tcPr>
            <w:tcW w:w="1989"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19</w:t>
            </w:r>
          </w:p>
        </w:tc>
        <w:tc>
          <w:tcPr>
            <w:tcW w:w="279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6.3%</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Very Dissatisfied</w:t>
            </w:r>
          </w:p>
        </w:tc>
        <w:tc>
          <w:tcPr>
            <w:tcW w:w="1989"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3</w:t>
            </w:r>
          </w:p>
        </w:tc>
        <w:tc>
          <w:tcPr>
            <w:tcW w:w="2790"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1.0%</w:t>
            </w:r>
          </w:p>
        </w:tc>
      </w:tr>
    </w:tbl>
    <w:p>
      <w:r>
        <w:t>Source: research data,(2024)</w:t>
      </w:r>
    </w:p>
    <w:p>
      <w:pPr>
        <w:pageBreakBefore w:val="0"/>
        <w:widowControl/>
        <w:kinsoku/>
        <w:wordWrap/>
        <w:overflowPunct/>
        <w:topLinePunct w:val="0"/>
        <w:autoSpaceDE/>
        <w:autoSpaceDN/>
        <w:bidi w:val="0"/>
        <w:adjustRightInd/>
        <w:snapToGrid/>
        <w:spacing w:before="240" w:after="0" w:line="360" w:lineRule="auto"/>
        <w:textAlignment w:val="auto"/>
      </w:pPr>
      <w:r>
        <w:t>This suggests that a significant portion of the members found the administrative processes to be efficient and satisfactory, but a small group still faced challenges with the processes. These findings are consistent with the study by Sefela (2019), where members of public pension schemes in Kenya showed satisfaction with streamlined administrative processes after mergers. However, Rweikiza et al. (2020) reported that in Tanzania, administrative satisfaction post-merger was lower, with several respondents expressing frustration over bureaucratic delays.</w:t>
      </w:r>
    </w:p>
    <w:p>
      <w:pPr>
        <w:pStyle w:val="4"/>
        <w:pageBreakBefore w:val="0"/>
        <w:widowControl/>
        <w:kinsoku/>
        <w:wordWrap/>
        <w:overflowPunct/>
        <w:topLinePunct w:val="0"/>
        <w:autoSpaceDE/>
        <w:autoSpaceDN/>
        <w:bidi w:val="0"/>
        <w:adjustRightInd/>
        <w:snapToGrid/>
        <w:spacing w:before="240" w:after="0" w:line="360" w:lineRule="auto"/>
        <w:textAlignment w:val="auto"/>
      </w:pPr>
      <w:bookmarkStart w:id="130" w:name="_Toc1866"/>
      <w:r>
        <w:t>4.3.5 Digital Service Improvements</w:t>
      </w:r>
      <w:bookmarkEnd w:id="130"/>
    </w:p>
    <w:p>
      <w:r>
        <w:t>As shown in Table 4.7, 187 (62.3%) respondents reported a Significant Improvement or Slight Improvement in digital service platforms, such as online portals and mobile apps. However, 72 (24.0%) noted No Change, and 21 (7.0%) indicated that digital services had Worsened post-merger.</w:t>
      </w:r>
    </w:p>
    <w:p>
      <w:pPr>
        <w:pStyle w:val="12"/>
        <w:keepNext/>
        <w:pageBreakBefore w:val="0"/>
        <w:widowControl/>
        <w:kinsoku/>
        <w:wordWrap/>
        <w:overflowPunct/>
        <w:topLinePunct w:val="0"/>
        <w:autoSpaceDE/>
        <w:autoSpaceDN/>
        <w:bidi w:val="0"/>
        <w:adjustRightInd/>
        <w:snapToGrid/>
        <w:spacing w:before="240" w:after="0" w:line="360" w:lineRule="auto"/>
        <w:textAlignment w:val="auto"/>
        <w:rPr>
          <w:b/>
          <w:bCs/>
          <w:color w:val="auto"/>
          <w:sz w:val="24"/>
          <w:szCs w:val="24"/>
        </w:rPr>
      </w:pPr>
      <w:bookmarkStart w:id="131" w:name="_Toc182070295"/>
      <w:r>
        <w:rPr>
          <w:b/>
          <w:bCs/>
          <w:color w:val="auto"/>
          <w:sz w:val="24"/>
          <w:szCs w:val="24"/>
        </w:rPr>
        <w:t>Table 4.</w:t>
      </w:r>
      <w:r>
        <w:rPr>
          <w:b/>
          <w:bCs/>
          <w:color w:val="auto"/>
          <w:sz w:val="24"/>
          <w:szCs w:val="24"/>
        </w:rPr>
        <w:fldChar w:fldCharType="begin"/>
      </w:r>
      <w:r>
        <w:rPr>
          <w:b/>
          <w:bCs/>
          <w:color w:val="auto"/>
          <w:sz w:val="24"/>
          <w:szCs w:val="24"/>
        </w:rPr>
        <w:instrText xml:space="preserve"> SEQ Table \* ARABIC </w:instrText>
      </w:r>
      <w:r>
        <w:rPr>
          <w:b/>
          <w:bCs/>
          <w:color w:val="auto"/>
          <w:sz w:val="24"/>
          <w:szCs w:val="24"/>
        </w:rPr>
        <w:fldChar w:fldCharType="separate"/>
      </w:r>
      <w:r>
        <w:rPr>
          <w:b/>
          <w:bCs/>
          <w:color w:val="auto"/>
          <w:sz w:val="24"/>
          <w:szCs w:val="24"/>
        </w:rPr>
        <w:t>7</w:t>
      </w:r>
      <w:r>
        <w:rPr>
          <w:b/>
          <w:bCs/>
          <w:color w:val="auto"/>
          <w:sz w:val="24"/>
          <w:szCs w:val="24"/>
        </w:rPr>
        <w:fldChar w:fldCharType="end"/>
      </w:r>
      <w:r>
        <w:rPr>
          <w:b/>
          <w:bCs/>
          <w:color w:val="auto"/>
          <w:sz w:val="24"/>
          <w:szCs w:val="24"/>
        </w:rPr>
        <w:t>: Digital Service Improvements</w:t>
      </w:r>
      <w:bookmarkEnd w:id="131"/>
    </w:p>
    <w:tbl>
      <w:tblPr>
        <w:tblStyle w:val="21"/>
        <w:tblW w:w="0" w:type="auto"/>
        <w:tblInd w:w="0" w:type="dxa"/>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Layout w:type="autofit"/>
        <w:tblCellMar>
          <w:top w:w="0" w:type="dxa"/>
          <w:left w:w="108" w:type="dxa"/>
          <w:bottom w:w="0" w:type="dxa"/>
          <w:right w:w="108" w:type="dxa"/>
        </w:tblCellMar>
      </w:tblPr>
      <w:tblGrid>
        <w:gridCol w:w="2760"/>
        <w:gridCol w:w="2725"/>
        <w:gridCol w:w="3060"/>
      </w:tblGrid>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Digital Service Improvements</w:t>
            </w:r>
          </w:p>
        </w:tc>
        <w:tc>
          <w:tcPr>
            <w:tcW w:w="2725"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Frequency (n)</w:t>
            </w:r>
          </w:p>
        </w:tc>
        <w:tc>
          <w:tcPr>
            <w:tcW w:w="3060"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Percentage (%)</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Significant Improvement</w:t>
            </w:r>
          </w:p>
        </w:tc>
        <w:tc>
          <w:tcPr>
            <w:tcW w:w="2725"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110</w:t>
            </w:r>
          </w:p>
        </w:tc>
        <w:tc>
          <w:tcPr>
            <w:tcW w:w="3060"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36.7%</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Slight Improvement</w:t>
            </w:r>
          </w:p>
        </w:tc>
        <w:tc>
          <w:tcPr>
            <w:tcW w:w="2725"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77</w:t>
            </w:r>
          </w:p>
        </w:tc>
        <w:tc>
          <w:tcPr>
            <w:tcW w:w="306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25.7%</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No Change</w:t>
            </w:r>
          </w:p>
        </w:tc>
        <w:tc>
          <w:tcPr>
            <w:tcW w:w="2725"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72</w:t>
            </w:r>
          </w:p>
        </w:tc>
        <w:tc>
          <w:tcPr>
            <w:tcW w:w="306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24.0%</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Worsened</w:t>
            </w:r>
          </w:p>
        </w:tc>
        <w:tc>
          <w:tcPr>
            <w:tcW w:w="2725"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21</w:t>
            </w:r>
          </w:p>
        </w:tc>
        <w:tc>
          <w:tcPr>
            <w:tcW w:w="3060"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7.0%</w:t>
            </w:r>
          </w:p>
        </w:tc>
      </w:tr>
    </w:tbl>
    <w:p>
      <w:r>
        <w:t>Source: research data,(2024)</w:t>
      </w:r>
    </w:p>
    <w:p>
      <w:pPr>
        <w:pageBreakBefore w:val="0"/>
        <w:widowControl/>
        <w:kinsoku/>
        <w:wordWrap/>
        <w:overflowPunct/>
        <w:topLinePunct w:val="0"/>
        <w:autoSpaceDE/>
        <w:autoSpaceDN/>
        <w:bidi w:val="0"/>
        <w:adjustRightInd/>
        <w:snapToGrid/>
        <w:spacing w:before="240" w:after="0" w:line="360" w:lineRule="auto"/>
        <w:textAlignment w:val="auto"/>
      </w:pPr>
      <w:r>
        <w:t>This reflects the increasing trend toward digitalization in service delivery, which has been identified as a crucial factor in enhancing access and efficiency in various social security schemes globally. However, 72 (24.0%) respondents felt that there had been no change, and 21 (7.0%) reported a worsening of digital services. These findings are in line with Bwire (2021), who noted the critical role of digital platforms in improving member engagement and satisfaction in pension systems after mergers. Conversely, Kariuki et al. (2021) found that digital improvements were slow and inconsistent in some merged social security funds, suggesting that technological infrastructure improvements may need to be implemented more widely.</w:t>
      </w:r>
    </w:p>
    <w:p>
      <w:pPr>
        <w:pStyle w:val="4"/>
        <w:keepNext/>
        <w:keepLines/>
        <w:pageBreakBefore w:val="0"/>
        <w:widowControl/>
        <w:kinsoku/>
        <w:wordWrap/>
        <w:overflowPunct/>
        <w:topLinePunct w:val="0"/>
        <w:autoSpaceDE/>
        <w:autoSpaceDN/>
        <w:bidi w:val="0"/>
        <w:adjustRightInd/>
        <w:snapToGrid/>
        <w:spacing w:before="240" w:after="0" w:line="360" w:lineRule="auto"/>
        <w:textAlignment w:val="auto"/>
      </w:pPr>
      <w:bookmarkStart w:id="132" w:name="_Toc14842"/>
      <w:r>
        <w:t>4.3.6 Customer Support Satisfaction</w:t>
      </w:r>
      <w:bookmarkEnd w:id="132"/>
    </w:p>
    <w:p>
      <w:pPr>
        <w:spacing w:before="0" w:after="0"/>
      </w:pPr>
      <w:r>
        <w:t>Table 4.8 shows that 184 (61.3%) respondents were either Very Satisfied or Satisfied with customer support, while 35 (11.7%) expressed dissatisfaction.</w:t>
      </w:r>
    </w:p>
    <w:p>
      <w:pPr>
        <w:spacing w:before="0" w:after="0"/>
      </w:pPr>
    </w:p>
    <w:p>
      <w:pPr>
        <w:spacing w:before="0" w:after="0"/>
      </w:pPr>
    </w:p>
    <w:p>
      <w:pPr>
        <w:spacing w:before="0" w:after="0"/>
      </w:pPr>
    </w:p>
    <w:p>
      <w:pPr>
        <w:pStyle w:val="12"/>
        <w:keepNext/>
        <w:pageBreakBefore w:val="0"/>
        <w:widowControl/>
        <w:kinsoku/>
        <w:wordWrap/>
        <w:overflowPunct/>
        <w:topLinePunct w:val="0"/>
        <w:autoSpaceDE/>
        <w:autoSpaceDN/>
        <w:bidi w:val="0"/>
        <w:adjustRightInd/>
        <w:snapToGrid/>
        <w:spacing w:before="240" w:after="0" w:line="360" w:lineRule="auto"/>
        <w:textAlignment w:val="auto"/>
        <w:rPr>
          <w:b/>
          <w:bCs/>
          <w:color w:val="auto"/>
          <w:sz w:val="24"/>
          <w:szCs w:val="24"/>
        </w:rPr>
      </w:pPr>
      <w:bookmarkStart w:id="133" w:name="_Toc182070296"/>
      <w:r>
        <w:rPr>
          <w:b/>
          <w:bCs/>
          <w:color w:val="auto"/>
          <w:sz w:val="24"/>
          <w:szCs w:val="24"/>
        </w:rPr>
        <w:t xml:space="preserve">Table </w:t>
      </w:r>
      <w:r>
        <w:rPr>
          <w:b/>
          <w:bCs/>
          <w:color w:val="auto"/>
          <w:sz w:val="24"/>
          <w:szCs w:val="24"/>
        </w:rPr>
        <w:fldChar w:fldCharType="begin"/>
      </w:r>
      <w:r>
        <w:rPr>
          <w:b/>
          <w:bCs/>
          <w:color w:val="auto"/>
          <w:sz w:val="24"/>
          <w:szCs w:val="24"/>
        </w:rPr>
        <w:instrText xml:space="preserve"> SEQ Table \* ARABIC </w:instrText>
      </w:r>
      <w:r>
        <w:rPr>
          <w:b/>
          <w:bCs/>
          <w:color w:val="auto"/>
          <w:sz w:val="24"/>
          <w:szCs w:val="24"/>
        </w:rPr>
        <w:fldChar w:fldCharType="separate"/>
      </w:r>
      <w:r>
        <w:rPr>
          <w:b/>
          <w:bCs/>
          <w:color w:val="auto"/>
          <w:sz w:val="24"/>
          <w:szCs w:val="24"/>
        </w:rPr>
        <w:t>8</w:t>
      </w:r>
      <w:r>
        <w:rPr>
          <w:b/>
          <w:bCs/>
          <w:color w:val="auto"/>
          <w:sz w:val="24"/>
          <w:szCs w:val="24"/>
        </w:rPr>
        <w:fldChar w:fldCharType="end"/>
      </w:r>
      <w:r>
        <w:rPr>
          <w:b/>
          <w:bCs/>
          <w:color w:val="auto"/>
          <w:sz w:val="24"/>
          <w:szCs w:val="24"/>
        </w:rPr>
        <w:t>: Customer Support Satisfaction</w:t>
      </w:r>
      <w:bookmarkEnd w:id="133"/>
    </w:p>
    <w:tbl>
      <w:tblPr>
        <w:tblStyle w:val="21"/>
        <w:tblW w:w="8635" w:type="dxa"/>
        <w:tblInd w:w="0" w:type="dxa"/>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Layout w:type="autofit"/>
        <w:tblCellMar>
          <w:top w:w="0" w:type="dxa"/>
          <w:left w:w="108" w:type="dxa"/>
          <w:bottom w:w="0" w:type="dxa"/>
          <w:right w:w="108" w:type="dxa"/>
        </w:tblCellMar>
      </w:tblPr>
      <w:tblGrid>
        <w:gridCol w:w="3375"/>
        <w:gridCol w:w="1678"/>
        <w:gridCol w:w="3582"/>
      </w:tblGrid>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Customer Support Satisfaction</w:t>
            </w:r>
          </w:p>
        </w:tc>
        <w:tc>
          <w:tcPr>
            <w:tcW w:w="0" w:type="auto"/>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Frequency (n)</w:t>
            </w:r>
          </w:p>
        </w:tc>
        <w:tc>
          <w:tcPr>
            <w:tcW w:w="3582"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Percentage (%)</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Very Satisfied</w:t>
            </w:r>
          </w:p>
        </w:tc>
        <w:tc>
          <w:tcPr>
            <w:tcW w:w="0" w:type="auto"/>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124</w:t>
            </w:r>
          </w:p>
        </w:tc>
        <w:tc>
          <w:tcPr>
            <w:tcW w:w="3582"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41.3%</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Satisfied</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60</w:t>
            </w:r>
          </w:p>
        </w:tc>
        <w:tc>
          <w:tcPr>
            <w:tcW w:w="3582"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20.0%</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Neutral</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93</w:t>
            </w:r>
          </w:p>
        </w:tc>
        <w:tc>
          <w:tcPr>
            <w:tcW w:w="3582"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31.0%</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Dissatisfied</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13</w:t>
            </w:r>
          </w:p>
        </w:tc>
        <w:tc>
          <w:tcPr>
            <w:tcW w:w="3582"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4.3%</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Very Dissatisfied</w:t>
            </w:r>
          </w:p>
        </w:tc>
        <w:tc>
          <w:tcPr>
            <w:tcW w:w="0" w:type="auto"/>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22</w:t>
            </w:r>
          </w:p>
        </w:tc>
        <w:tc>
          <w:tcPr>
            <w:tcW w:w="3582"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7.3%</w:t>
            </w:r>
          </w:p>
        </w:tc>
      </w:tr>
    </w:tbl>
    <w:p>
      <w:r>
        <w:t>Source: research data,(2024)</w:t>
      </w:r>
    </w:p>
    <w:p>
      <w:pPr>
        <w:keepNext w:val="0"/>
        <w:keepLines w:val="0"/>
        <w:pageBreakBefore w:val="0"/>
        <w:widowControl/>
        <w:kinsoku/>
        <w:wordWrap/>
        <w:overflowPunct/>
        <w:topLinePunct w:val="0"/>
        <w:autoSpaceDE/>
        <w:autoSpaceDN/>
        <w:bidi w:val="0"/>
        <w:adjustRightInd/>
        <w:snapToGrid/>
        <w:spacing w:before="240" w:after="0"/>
        <w:textAlignment w:val="auto"/>
      </w:pPr>
      <w:r>
        <w:t>This is consistent with findings from Bwire (2021), where customer support improvements were associated with higher satisfaction. On the contrary, Rweikiza et al. (2020) found that customer support issues remained a challenge for some members, suggesting that further improvements are necessary. The results indicate that the PSSSF has made notable progress in service delivery and administrative efficiency following its mergers and acquisitions. However, areas such as accessibility, administrative processes, and customer support still require attention. Comparative studies from other regions, such as those by Mashanda et al. (2022), Sefela (2019), and Bwire (2021), confirm that while mergers often lead to improvements, their success can vary depending on the implementation strategies and organizational response to member needs.</w:t>
      </w:r>
    </w:p>
    <w:p>
      <w:pPr>
        <w:pStyle w:val="3"/>
        <w:pageBreakBefore w:val="0"/>
        <w:widowControl/>
        <w:kinsoku/>
        <w:wordWrap/>
        <w:overflowPunct/>
        <w:topLinePunct w:val="0"/>
        <w:autoSpaceDE/>
        <w:autoSpaceDN/>
        <w:bidi w:val="0"/>
        <w:adjustRightInd/>
        <w:snapToGrid/>
        <w:spacing w:before="240" w:after="0" w:line="360" w:lineRule="auto"/>
        <w:textAlignment w:val="auto"/>
      </w:pPr>
      <w:bookmarkStart w:id="134" w:name="_Toc29567"/>
      <w:r>
        <w:t>4.4 Analysis of Factors Influencing the Effectiveness of the PSSSF</w:t>
      </w:r>
      <w:bookmarkEnd w:id="134"/>
      <w:r>
        <w:t xml:space="preserve"> </w:t>
      </w:r>
    </w:p>
    <w:p>
      <w:r>
        <w:t>Below is a consolidated table summarizing respondents' perspectives on various factors influencing the effectiveness of the PSSSF in enhancing public servants' welfare post-merger, followed by an analysis.</w:t>
      </w:r>
    </w:p>
    <w:p>
      <w:pPr>
        <w:pStyle w:val="12"/>
        <w:pageBreakBefore w:val="0"/>
        <w:widowControl/>
        <w:kinsoku/>
        <w:wordWrap/>
        <w:overflowPunct/>
        <w:topLinePunct w:val="0"/>
        <w:autoSpaceDE/>
        <w:autoSpaceDN/>
        <w:bidi w:val="0"/>
        <w:adjustRightInd/>
        <w:snapToGrid/>
        <w:spacing w:before="240" w:after="0" w:line="360" w:lineRule="auto"/>
        <w:textAlignment w:val="auto"/>
        <w:rPr>
          <w:b/>
          <w:bCs/>
          <w:color w:val="auto"/>
          <w:sz w:val="24"/>
          <w:szCs w:val="24"/>
        </w:rPr>
      </w:pPr>
      <w:bookmarkStart w:id="135" w:name="_Toc182070297"/>
      <w:r>
        <w:rPr>
          <w:b/>
          <w:bCs/>
          <w:color w:val="auto"/>
          <w:sz w:val="24"/>
          <w:szCs w:val="24"/>
        </w:rPr>
        <w:t>Table 4.</w:t>
      </w:r>
      <w:r>
        <w:rPr>
          <w:b/>
          <w:bCs/>
          <w:color w:val="auto"/>
          <w:sz w:val="24"/>
          <w:szCs w:val="24"/>
        </w:rPr>
        <w:fldChar w:fldCharType="begin"/>
      </w:r>
      <w:r>
        <w:rPr>
          <w:b/>
          <w:bCs/>
          <w:color w:val="auto"/>
          <w:sz w:val="24"/>
          <w:szCs w:val="24"/>
        </w:rPr>
        <w:instrText xml:space="preserve"> SEQ Table \* ARABIC </w:instrText>
      </w:r>
      <w:r>
        <w:rPr>
          <w:b/>
          <w:bCs/>
          <w:color w:val="auto"/>
          <w:sz w:val="24"/>
          <w:szCs w:val="24"/>
        </w:rPr>
        <w:fldChar w:fldCharType="separate"/>
      </w:r>
      <w:r>
        <w:rPr>
          <w:b/>
          <w:bCs/>
          <w:color w:val="auto"/>
          <w:sz w:val="24"/>
          <w:szCs w:val="24"/>
        </w:rPr>
        <w:t>9</w:t>
      </w:r>
      <w:r>
        <w:rPr>
          <w:b/>
          <w:bCs/>
          <w:color w:val="auto"/>
          <w:sz w:val="24"/>
          <w:szCs w:val="24"/>
        </w:rPr>
        <w:fldChar w:fldCharType="end"/>
      </w:r>
      <w:r>
        <w:rPr>
          <w:b/>
          <w:bCs/>
          <w:color w:val="auto"/>
          <w:sz w:val="24"/>
          <w:szCs w:val="24"/>
        </w:rPr>
        <w:t>: Factors Influencing the Effectiveness of the PSSSF in Enhancing the Welfare of Public Servants Post-Merger</w:t>
      </w:r>
      <w:bookmarkEnd w:id="135"/>
    </w:p>
    <w:tbl>
      <w:tblPr>
        <w:tblStyle w:val="21"/>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510"/>
        <w:gridCol w:w="2656"/>
        <w:gridCol w:w="1219"/>
        <w:gridCol w:w="12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510" w:type="dxa"/>
            <w:tcBorders>
              <w:top w:val="single" w:color="auto" w:sz="4" w:space="0"/>
              <w:bottom w:val="single" w:color="auto" w:sz="4" w:space="0"/>
            </w:tcBorders>
            <w:shd w:val="clear" w:color="auto" w:fill="D9E2F3"/>
          </w:tcPr>
          <w:p>
            <w:pPr>
              <w:keepNext w:val="0"/>
              <w:keepLines w:val="0"/>
              <w:widowControl/>
              <w:suppressLineNumbers w:val="0"/>
              <w:spacing w:before="0" w:beforeAutospacing="0" w:after="0" w:afterAutospacing="0" w:line="240" w:lineRule="auto"/>
              <w:ind w:left="0" w:right="0"/>
              <w:rPr>
                <w:rFonts w:hint="eastAsia"/>
                <w:b/>
                <w:bCs/>
                <w:sz w:val="20"/>
                <w:szCs w:val="20"/>
              </w:rPr>
            </w:pPr>
            <w:r>
              <w:rPr>
                <w:rFonts w:hint="eastAsia"/>
                <w:b/>
                <w:bCs/>
                <w:sz w:val="20"/>
                <w:szCs w:val="20"/>
              </w:rPr>
              <w:t>Aspect</w:t>
            </w:r>
          </w:p>
        </w:tc>
        <w:tc>
          <w:tcPr>
            <w:tcW w:w="2656" w:type="dxa"/>
            <w:tcBorders>
              <w:top w:val="single" w:color="auto" w:sz="4" w:space="0"/>
              <w:bottom w:val="single" w:color="auto" w:sz="4" w:space="0"/>
            </w:tcBorders>
            <w:shd w:val="clear" w:color="auto" w:fill="D9E2F3"/>
          </w:tcPr>
          <w:p>
            <w:pPr>
              <w:keepNext w:val="0"/>
              <w:keepLines w:val="0"/>
              <w:widowControl/>
              <w:suppressLineNumbers w:val="0"/>
              <w:spacing w:before="0" w:beforeAutospacing="0" w:after="0" w:afterAutospacing="0" w:line="240" w:lineRule="auto"/>
              <w:ind w:left="0" w:right="0"/>
              <w:rPr>
                <w:rFonts w:hint="eastAsia"/>
                <w:b/>
                <w:bCs/>
                <w:sz w:val="20"/>
                <w:szCs w:val="20"/>
              </w:rPr>
            </w:pPr>
            <w:r>
              <w:rPr>
                <w:rFonts w:hint="eastAsia"/>
                <w:b/>
                <w:bCs/>
                <w:sz w:val="20"/>
                <w:szCs w:val="20"/>
              </w:rPr>
              <w:t>Category</w:t>
            </w:r>
          </w:p>
        </w:tc>
        <w:tc>
          <w:tcPr>
            <w:tcW w:w="1219" w:type="dxa"/>
            <w:tcBorders>
              <w:top w:val="single" w:color="auto" w:sz="4" w:space="0"/>
              <w:bottom w:val="single" w:color="auto" w:sz="4" w:space="0"/>
            </w:tcBorders>
            <w:shd w:val="clear" w:color="auto" w:fill="D9E2F3"/>
          </w:tcPr>
          <w:p>
            <w:pPr>
              <w:keepNext w:val="0"/>
              <w:keepLines w:val="0"/>
              <w:widowControl/>
              <w:suppressLineNumbers w:val="0"/>
              <w:spacing w:before="0" w:beforeAutospacing="0" w:after="0" w:afterAutospacing="0" w:line="240" w:lineRule="auto"/>
              <w:ind w:left="0" w:right="0"/>
              <w:rPr>
                <w:rFonts w:hint="eastAsia"/>
                <w:b/>
                <w:bCs/>
                <w:sz w:val="20"/>
                <w:szCs w:val="20"/>
              </w:rPr>
            </w:pPr>
            <w:r>
              <w:rPr>
                <w:rFonts w:hint="eastAsia"/>
                <w:b/>
                <w:bCs/>
                <w:sz w:val="20"/>
                <w:szCs w:val="20"/>
              </w:rPr>
              <w:t>Frequency (n)</w:t>
            </w:r>
          </w:p>
        </w:tc>
        <w:tc>
          <w:tcPr>
            <w:tcW w:w="1255" w:type="dxa"/>
            <w:tcBorders>
              <w:top w:val="single" w:color="auto" w:sz="4" w:space="0"/>
              <w:bottom w:val="single" w:color="auto" w:sz="4" w:space="0"/>
            </w:tcBorders>
            <w:shd w:val="clear" w:color="auto" w:fill="D9E2F3"/>
          </w:tcPr>
          <w:p>
            <w:pPr>
              <w:keepNext w:val="0"/>
              <w:keepLines w:val="0"/>
              <w:widowControl/>
              <w:suppressLineNumbers w:val="0"/>
              <w:spacing w:before="0" w:beforeAutospacing="0" w:after="0" w:afterAutospacing="0" w:line="240" w:lineRule="auto"/>
              <w:ind w:left="0" w:right="0"/>
              <w:rPr>
                <w:rFonts w:hint="eastAsia"/>
                <w:b/>
                <w:bCs/>
                <w:sz w:val="20"/>
                <w:szCs w:val="20"/>
              </w:rPr>
            </w:pPr>
            <w:r>
              <w:rPr>
                <w:rFonts w:hint="eastAsia"/>
                <w:b/>
                <w:bCs/>
                <w:sz w:val="20"/>
                <w:szCs w:val="20"/>
              </w:rPr>
              <w:t>Percentage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510" w:type="dxa"/>
            <w:tcBorders>
              <w:top w:val="single" w:color="auto" w:sz="4" w:space="0"/>
            </w:tcBorders>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b/>
                <w:bCs/>
                <w:sz w:val="20"/>
                <w:szCs w:val="20"/>
              </w:rPr>
              <w:t>Factors Influencing Effectiveness</w:t>
            </w:r>
          </w:p>
        </w:tc>
        <w:tc>
          <w:tcPr>
            <w:tcW w:w="2656" w:type="dxa"/>
            <w:tcBorders>
              <w:top w:val="single" w:color="auto" w:sz="4" w:space="0"/>
            </w:tcBorders>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Governance</w:t>
            </w:r>
          </w:p>
        </w:tc>
        <w:tc>
          <w:tcPr>
            <w:tcW w:w="1219" w:type="dxa"/>
            <w:tcBorders>
              <w:top w:val="single" w:color="auto" w:sz="4" w:space="0"/>
            </w:tcBorders>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198</w:t>
            </w:r>
          </w:p>
        </w:tc>
        <w:tc>
          <w:tcPr>
            <w:tcW w:w="1255" w:type="dxa"/>
            <w:tcBorders>
              <w:top w:val="single" w:color="auto" w:sz="4" w:space="0"/>
            </w:tcBorders>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66.0%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51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2656"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Financial Management</w:t>
            </w:r>
          </w:p>
        </w:tc>
        <w:tc>
          <w:tcPr>
            <w:tcW w:w="1219"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185</w:t>
            </w:r>
          </w:p>
        </w:tc>
        <w:tc>
          <w:tcPr>
            <w:tcW w:w="125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61.7%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51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2656"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Stakeholder Engagement</w:t>
            </w:r>
          </w:p>
        </w:tc>
        <w:tc>
          <w:tcPr>
            <w:tcW w:w="1219"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152</w:t>
            </w:r>
          </w:p>
        </w:tc>
        <w:tc>
          <w:tcPr>
            <w:tcW w:w="125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50.7%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510" w:type="dxa"/>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2656"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Communication Strategies</w:t>
            </w:r>
          </w:p>
        </w:tc>
        <w:tc>
          <w:tcPr>
            <w:tcW w:w="1219"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134</w:t>
            </w:r>
          </w:p>
        </w:tc>
        <w:tc>
          <w:tcPr>
            <w:tcW w:w="125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44.7%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510" w:type="dxa"/>
            <w:tcBorders>
              <w:bottom w:val="single" w:color="auto" w:sz="4" w:space="0"/>
            </w:tcBorders>
          </w:tcPr>
          <w:p>
            <w:pPr>
              <w:keepNext w:val="0"/>
              <w:keepLines w:val="0"/>
              <w:widowControl/>
              <w:suppressLineNumbers w:val="0"/>
              <w:spacing w:before="0" w:beforeAutospacing="0" w:after="0" w:afterAutospacing="0" w:line="240" w:lineRule="auto"/>
              <w:ind w:left="0" w:right="0"/>
              <w:rPr>
                <w:rFonts w:hint="eastAsia"/>
                <w:sz w:val="20"/>
                <w:szCs w:val="20"/>
              </w:rPr>
            </w:pPr>
          </w:p>
        </w:tc>
        <w:tc>
          <w:tcPr>
            <w:tcW w:w="2656" w:type="dxa"/>
            <w:tcBorders>
              <w:bottom w:val="single" w:color="auto" w:sz="4" w:space="0"/>
            </w:tcBorders>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Other (Please specify)</w:t>
            </w:r>
          </w:p>
        </w:tc>
        <w:tc>
          <w:tcPr>
            <w:tcW w:w="1219" w:type="dxa"/>
            <w:tcBorders>
              <w:bottom w:val="single" w:color="auto" w:sz="4" w:space="0"/>
            </w:tcBorders>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30</w:t>
            </w:r>
          </w:p>
        </w:tc>
        <w:tc>
          <w:tcPr>
            <w:tcW w:w="1255" w:type="dxa"/>
            <w:tcBorders>
              <w:bottom w:val="single" w:color="auto" w:sz="4" w:space="0"/>
            </w:tcBorders>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10.0%</w:t>
            </w:r>
          </w:p>
        </w:tc>
      </w:tr>
    </w:tbl>
    <w:p>
      <w:r>
        <w:t xml:space="preserve"> Source: research data,(2024)</w:t>
      </w:r>
    </w:p>
    <w:p>
      <w:pPr>
        <w:pStyle w:val="4"/>
        <w:pageBreakBefore w:val="0"/>
        <w:widowControl/>
        <w:kinsoku/>
        <w:wordWrap/>
        <w:overflowPunct/>
        <w:topLinePunct w:val="0"/>
        <w:autoSpaceDE/>
        <w:autoSpaceDN/>
        <w:bidi w:val="0"/>
        <w:adjustRightInd/>
        <w:snapToGrid/>
        <w:spacing w:before="240" w:after="0" w:line="360" w:lineRule="auto"/>
        <w:textAlignment w:val="auto"/>
      </w:pPr>
      <w:bookmarkStart w:id="136" w:name="_Toc13471"/>
      <w:r>
        <w:t>4.4.1 Governance</w:t>
      </w:r>
      <w:bookmarkEnd w:id="136"/>
    </w:p>
    <w:p>
      <w:r>
        <w:t>Governance was identified by 66.0% of respondents as the most significant factor impacting PSSSF's effectiveness. Strong governance is essential for ensuring accountability, transparency, and efficiency within public service institutions, especially post-merger. Effective governance allows for clear decision-making processes, which are necessary for fostering trust among beneficiaries. According to Moe and Saks (2018), governance in public funds not only maintains stability but also aligns the organization’s objectives with the welfare needs of its members. Comparatively, Ogada and Munene (2019) examined governance structures in pension funds in Kenya and found that strong oversight mechanisms were linked to higher member satisfaction and trust. When governance is sound, the organization is better positioned to make data-informed decisions that prioritize member welfare, as seen in studies from both Tanzania and Kenya, where weak governance was associated with delays and mismanagement of funds (Kimathi &amp; Mwangi, 2020).</w:t>
      </w:r>
    </w:p>
    <w:p>
      <w:pPr>
        <w:pageBreakBefore w:val="0"/>
        <w:widowControl/>
        <w:kinsoku/>
        <w:wordWrap/>
        <w:overflowPunct/>
        <w:topLinePunct w:val="0"/>
        <w:autoSpaceDE/>
        <w:autoSpaceDN/>
        <w:bidi w:val="0"/>
        <w:adjustRightInd/>
        <w:snapToGrid/>
        <w:spacing w:before="240" w:after="0" w:line="360" w:lineRule="auto"/>
        <w:textAlignment w:val="auto"/>
      </w:pPr>
      <w:r>
        <w:t>Governance and financial management were emphasized by participants as fundamental to effectiveness. One participant shared:</w:t>
      </w:r>
    </w:p>
    <w:p>
      <w:pPr>
        <w:ind w:left="720"/>
        <w:jc w:val="center"/>
      </w:pPr>
      <w:r>
        <w:rPr>
          <w:i/>
          <w:iCs/>
        </w:rPr>
        <w:t>“Good governance ensures that funds are managed responsibly, which directly benefits us.”</w:t>
      </w:r>
    </w:p>
    <w:p>
      <w:r>
        <w:t xml:space="preserve">Another noted, </w:t>
      </w:r>
    </w:p>
    <w:p>
      <w:pPr>
        <w:ind w:left="720"/>
        <w:jc w:val="center"/>
      </w:pPr>
      <w:r>
        <w:rPr>
          <w:i/>
          <w:iCs/>
        </w:rPr>
        <w:t>“Stakeholder engagement has made a big difference in our perception of the fund’s transparency.”</w:t>
      </w:r>
    </w:p>
    <w:p>
      <w:pPr>
        <w:pageBreakBefore w:val="0"/>
        <w:widowControl/>
        <w:kinsoku/>
        <w:wordWrap/>
        <w:overflowPunct/>
        <w:topLinePunct w:val="0"/>
        <w:autoSpaceDE/>
        <w:autoSpaceDN/>
        <w:bidi w:val="0"/>
        <w:adjustRightInd/>
        <w:snapToGrid/>
        <w:spacing w:before="240" w:after="0" w:line="360" w:lineRule="auto"/>
        <w:textAlignment w:val="auto"/>
      </w:pPr>
      <w:r>
        <w:t>This underscores the role of governance and engagement in fostering a sense of accountability. Similarly, Wainaina and Mwangi (2021) found that robust governance structures in public funds promote transparency, enhancing beneficiaries’ confidence</w:t>
      </w:r>
    </w:p>
    <w:p>
      <w:pPr>
        <w:pStyle w:val="4"/>
        <w:keepNext/>
        <w:keepLines/>
        <w:pageBreakBefore w:val="0"/>
        <w:widowControl/>
        <w:kinsoku/>
        <w:wordWrap/>
        <w:overflowPunct/>
        <w:topLinePunct w:val="0"/>
        <w:autoSpaceDE/>
        <w:autoSpaceDN/>
        <w:bidi w:val="0"/>
        <w:adjustRightInd/>
        <w:snapToGrid/>
        <w:spacing w:before="240" w:after="0" w:line="360" w:lineRule="auto"/>
        <w:textAlignment w:val="auto"/>
      </w:pPr>
      <w:bookmarkStart w:id="137" w:name="_Toc16612"/>
      <w:r>
        <w:t>4.4.2 Financial Management</w:t>
      </w:r>
      <w:bookmarkEnd w:id="137"/>
    </w:p>
    <w:p>
      <w:r>
        <w:t>Financial management emerged as the second most influential factor, with 61.7% of respondents acknowledging its importance. Efficient financial management enables PSSSF to allocate resources effectively, ensuring that funds are not only available but used to improve services and welfare benefits for members. Proper financial management impacts long-term sustainability, reducing the risk of shortfalls that could hinder service provision. In line with this, Achieng and Atieno (2020) stress that sound financial practices help retain organizational stability and member confidence, particularly in post-merger transitions where resource allocation needs are critical. Additionally, research by Haji and Mandai (2021) on pension funds in Uganda demonstrates that financial mismanagement directly affects fund performance and reduces members' confidence in the organization. Effective financial management, therefore, is a pillar for maintaining welfare services, ensuring that post-merger transformations in the PSSSF are both sustainable and supportive of member needs.</w:t>
      </w:r>
    </w:p>
    <w:p>
      <w:pPr>
        <w:pageBreakBefore w:val="0"/>
        <w:widowControl/>
        <w:kinsoku/>
        <w:wordWrap/>
        <w:overflowPunct/>
        <w:topLinePunct w:val="0"/>
        <w:autoSpaceDE/>
        <w:autoSpaceDN/>
        <w:bidi w:val="0"/>
        <w:adjustRightInd/>
        <w:snapToGrid/>
        <w:spacing w:before="240" w:after="0" w:line="360" w:lineRule="auto"/>
        <w:textAlignment w:val="auto"/>
      </w:pPr>
      <w:r>
        <w:t xml:space="preserve">Leadership received varying feedback in qualitative findings. A participant stated: </w:t>
      </w:r>
    </w:p>
    <w:p>
      <w:pPr>
        <w:ind w:firstLine="720"/>
        <w:jc w:val="center"/>
      </w:pPr>
      <w:r>
        <w:rPr>
          <w:i/>
          <w:iCs/>
        </w:rPr>
        <w:t>“Effective leadership is crucial for the fund’s success; we’ve seen positive changes in that area.”</w:t>
      </w:r>
    </w:p>
    <w:p>
      <w:r>
        <w:t>Another added:</w:t>
      </w:r>
    </w:p>
    <w:p>
      <w:pPr>
        <w:ind w:left="720"/>
        <w:jc w:val="center"/>
      </w:pPr>
      <w:r>
        <w:rPr>
          <w:i/>
          <w:iCs/>
        </w:rPr>
        <w:t>“Leadership consistency post-merger has improved stability, but there’s room for better communication.”</w:t>
      </w:r>
    </w:p>
    <w:p>
      <w:pPr>
        <w:pageBreakBefore w:val="0"/>
        <w:widowControl/>
        <w:kinsoku/>
        <w:wordWrap/>
        <w:overflowPunct/>
        <w:topLinePunct w:val="0"/>
        <w:autoSpaceDE/>
        <w:autoSpaceDN/>
        <w:bidi w:val="0"/>
        <w:adjustRightInd/>
        <w:snapToGrid/>
        <w:spacing w:before="240" w:after="0" w:line="360" w:lineRule="auto"/>
        <w:textAlignment w:val="auto"/>
      </w:pPr>
      <w:r>
        <w:t>This emphasizes the need for strong, communicative leadership. Previous research by Omondi and Mutisya (2022) underscores that sustained leadership post-merger is crucial for building member confidence and improving perceived welfare effectiveness.</w:t>
      </w:r>
    </w:p>
    <w:p>
      <w:pPr>
        <w:pStyle w:val="4"/>
        <w:pageBreakBefore w:val="0"/>
        <w:widowControl/>
        <w:kinsoku/>
        <w:wordWrap/>
        <w:overflowPunct/>
        <w:topLinePunct w:val="0"/>
        <w:autoSpaceDE/>
        <w:autoSpaceDN/>
        <w:bidi w:val="0"/>
        <w:adjustRightInd/>
        <w:snapToGrid/>
        <w:spacing w:before="240" w:after="0" w:line="360" w:lineRule="auto"/>
        <w:textAlignment w:val="auto"/>
      </w:pPr>
      <w:bookmarkStart w:id="138" w:name="_Toc8982"/>
      <w:r>
        <w:t>4.4.3 Stakeholder Engagement</w:t>
      </w:r>
      <w:bookmarkEnd w:id="138"/>
    </w:p>
    <w:p>
      <w:r>
        <w:t>Stakeholder engagement, highlighted by 50.7% of respondents, plays a vital role in PSSSF’s effectiveness in delivering welfare enhancements. Engagement allows for continuous feedback, ensuring that the organization remains aligned with its members' needs and expectations. Post-merger, stakeholder engagement helps bridge the gap between management and beneficiaries, fostering a collaborative environment that encourages transparency. According to Waweru and Muturi (2022), engaging stakeholders in service delivery decisions improves satisfaction and helps identify potential issues early. Comparative studies in Nigeria’s National Pension Commission by Adewale and Owolabi (2019) emphasize that strong stakeholder engagement leads to higher levels of compliance and satisfaction among beneficiaries, as members feel they are active participants in organizational changes. Therefore, PSSSF’s attention to stakeholder engagement post-merger can enhance trust and ensure the organization’s efforts are well-received by its members.</w:t>
      </w:r>
    </w:p>
    <w:p>
      <w:pPr>
        <w:pStyle w:val="4"/>
        <w:pageBreakBefore w:val="0"/>
        <w:widowControl/>
        <w:kinsoku/>
        <w:wordWrap/>
        <w:overflowPunct/>
        <w:topLinePunct w:val="0"/>
        <w:autoSpaceDE/>
        <w:autoSpaceDN/>
        <w:bidi w:val="0"/>
        <w:adjustRightInd/>
        <w:snapToGrid/>
        <w:spacing w:before="240" w:after="0" w:line="360" w:lineRule="auto"/>
        <w:textAlignment w:val="auto"/>
      </w:pPr>
      <w:bookmarkStart w:id="139" w:name="_Toc17836"/>
      <w:r>
        <w:t>4.4.4 Communication Strategies</w:t>
      </w:r>
      <w:bookmarkEnd w:id="139"/>
    </w:p>
    <w:p>
      <w:r>
        <w:t>Finally, communication strategies were noted by 44.7% of respondents as crucial for PSSSF’s effectiveness. Effective communication is critical during any organizational restructuring, as it helps manage member expectations and reduce uncertainties. Clear communication provides members with timely information about changes in processes, benefits, and accessibility, which can enhance their confidence in the organization. Studies by Karani and Mugo (2021) found that clear communication strategies were associated with higher satisfaction levels among beneficiaries in Kenya's social welfare programs, where regular updates improved transparency and trust. Similarly, Ramadhan and Nyaga (2020) reported that in Tanzania’s National Health Insurance Fund, effective communication played a significant role in retaining members by keeping them informed about service changes. Consequently, PSSSF’s efforts to enhance communication could improve members’ perception of organizational transparency and responsiveness, particularly during transitional periods.</w:t>
      </w:r>
    </w:p>
    <w:p>
      <w:pPr>
        <w:pageBreakBefore w:val="0"/>
        <w:widowControl/>
        <w:kinsoku/>
        <w:wordWrap/>
        <w:overflowPunct/>
        <w:topLinePunct w:val="0"/>
        <w:autoSpaceDE/>
        <w:autoSpaceDN/>
        <w:bidi w:val="0"/>
        <w:adjustRightInd/>
        <w:snapToGrid/>
        <w:spacing w:before="240" w:after="0" w:line="360" w:lineRule="auto"/>
        <w:textAlignment w:val="auto"/>
      </w:pPr>
      <w:r>
        <w:t>Communication strategies were valued for their role in effective service delivery. A participant commented:</w:t>
      </w:r>
    </w:p>
    <w:p>
      <w:pPr>
        <w:ind w:firstLine="720"/>
        <w:jc w:val="center"/>
      </w:pPr>
      <w:r>
        <w:rPr>
          <w:rStyle w:val="16"/>
        </w:rPr>
        <w:t>“Clear communication post-merger helps us feel informed and valued.”</w:t>
      </w:r>
    </w:p>
    <w:p>
      <w:r>
        <w:t xml:space="preserve">Another noted, </w:t>
      </w:r>
      <w:r>
        <w:rPr>
          <w:rStyle w:val="16"/>
        </w:rPr>
        <w:t>“Stakeholder engagement has increased, but more efforts are needed in involving us in decision-making.”</w:t>
      </w:r>
      <w:r>
        <w:t xml:space="preserve"> </w:t>
      </w:r>
    </w:p>
    <w:p>
      <w:pPr>
        <w:pageBreakBefore w:val="0"/>
        <w:widowControl/>
        <w:kinsoku/>
        <w:wordWrap/>
        <w:overflowPunct/>
        <w:topLinePunct w:val="0"/>
        <w:autoSpaceDE/>
        <w:autoSpaceDN/>
        <w:bidi w:val="0"/>
        <w:adjustRightInd/>
        <w:snapToGrid/>
        <w:spacing w:before="240" w:after="0" w:line="360" w:lineRule="auto"/>
        <w:textAlignment w:val="auto"/>
      </w:pPr>
      <w:r>
        <w:t>This mirrors Muriithi and Gichuru’s (2021) finding that transparent communication is key to reinforcing member trust, especially during transitional periods in public institutions.</w:t>
      </w:r>
    </w:p>
    <w:p>
      <w:pPr>
        <w:pStyle w:val="3"/>
        <w:pageBreakBefore w:val="0"/>
        <w:widowControl/>
        <w:kinsoku/>
        <w:wordWrap/>
        <w:overflowPunct/>
        <w:topLinePunct w:val="0"/>
        <w:autoSpaceDE/>
        <w:autoSpaceDN/>
        <w:bidi w:val="0"/>
        <w:adjustRightInd/>
        <w:snapToGrid/>
        <w:spacing w:before="240" w:after="0" w:line="360" w:lineRule="auto"/>
        <w:textAlignment w:val="auto"/>
        <w:rPr>
          <w:rFonts w:eastAsia="SimSun"/>
        </w:rPr>
      </w:pPr>
      <w:bookmarkStart w:id="140" w:name="_Toc181564470"/>
      <w:bookmarkStart w:id="141" w:name="_Toc10203"/>
      <w:r>
        <w:rPr>
          <w:rFonts w:eastAsia="SimSun"/>
        </w:rPr>
        <w:t>4.5 Multiple Regression Analysis</w:t>
      </w:r>
      <w:bookmarkEnd w:id="140"/>
      <w:bookmarkEnd w:id="141"/>
    </w:p>
    <w:p>
      <w:pPr>
        <w:spacing w:before="0" w:after="0"/>
        <w:rPr>
          <w:rFonts w:eastAsia="SimSun" w:cs="Times New Roman"/>
        </w:rPr>
      </w:pPr>
      <w:r>
        <w:rPr>
          <w:rFonts w:eastAsia="SimSun" w:cs="Times New Roman"/>
        </w:rPr>
        <w:t xml:space="preserve">To ensure the accuracy and reliability of the regression analysis, various assumptions were tested. These assumptions included normality, homoscedasticity, linearity, and multicollinearity. </w:t>
      </w:r>
    </w:p>
    <w:p>
      <w:pPr>
        <w:pStyle w:val="4"/>
        <w:pageBreakBefore w:val="0"/>
        <w:widowControl/>
        <w:kinsoku/>
        <w:wordWrap/>
        <w:overflowPunct/>
        <w:topLinePunct w:val="0"/>
        <w:autoSpaceDE/>
        <w:autoSpaceDN/>
        <w:bidi w:val="0"/>
        <w:adjustRightInd/>
        <w:snapToGrid/>
        <w:spacing w:before="240" w:after="0" w:line="360" w:lineRule="auto"/>
        <w:textAlignment w:val="auto"/>
        <w:rPr>
          <w:rFonts w:eastAsia="Times New Roman"/>
        </w:rPr>
      </w:pPr>
      <w:bookmarkStart w:id="142" w:name="_Toc29484"/>
      <w:bookmarkStart w:id="143" w:name="_Toc181542553"/>
      <w:bookmarkStart w:id="144" w:name="_Toc181564471"/>
      <w:r>
        <w:rPr>
          <w:rFonts w:eastAsia="Times New Roman"/>
        </w:rPr>
        <w:t>4.5.1 Normality Test</w:t>
      </w:r>
      <w:bookmarkEnd w:id="142"/>
      <w:bookmarkEnd w:id="143"/>
      <w:bookmarkEnd w:id="144"/>
    </w:p>
    <w:p>
      <w:pPr>
        <w:spacing w:before="0" w:after="0"/>
        <w:rPr>
          <w:rFonts w:eastAsia="SimSun" w:cs="Times New Roman"/>
        </w:rPr>
      </w:pPr>
      <w:r>
        <w:rPr>
          <w:rFonts w:eastAsia="SimSun" w:cs="Times New Roman"/>
        </w:rPr>
        <w:t>This section focused on the normality test, which assesses whether the residuals from the regression analysis are normally distributed. The normality of residuals was assessed using two methods: the P-P plot and the Shapiro-Wilk test. The P-P plot visually indicates how closely the residuals follow a normal distribution. In this case, the plot showed that the residuals align closely with the normal probability line, suggesting that the normality assumption is satisfied. This is essential because the normality of residuals ensures that the estimated parameters are unbiased and that significance tests are valid.</w:t>
      </w:r>
    </w:p>
    <w:p>
      <w:pPr>
        <w:pStyle w:val="12"/>
        <w:keepNext/>
        <w:spacing w:before="240" w:after="0"/>
        <w:rPr>
          <w:b/>
          <w:bCs/>
          <w:color w:val="000000"/>
          <w:sz w:val="24"/>
          <w:szCs w:val="24"/>
        </w:rPr>
      </w:pPr>
      <w:bookmarkStart w:id="145" w:name="_Toc182070298"/>
      <w:r>
        <w:rPr>
          <w:b/>
          <w:bCs/>
          <w:color w:val="000000"/>
          <w:sz w:val="24"/>
          <w:szCs w:val="24"/>
        </w:rPr>
        <w:t>Table 4.</w:t>
      </w:r>
      <w:r>
        <w:rPr>
          <w:b/>
          <w:bCs/>
          <w:color w:val="000000"/>
          <w:sz w:val="24"/>
          <w:szCs w:val="24"/>
        </w:rPr>
        <w:fldChar w:fldCharType="begin"/>
      </w:r>
      <w:r>
        <w:rPr>
          <w:b/>
          <w:bCs/>
          <w:color w:val="000000"/>
          <w:sz w:val="24"/>
          <w:szCs w:val="24"/>
        </w:rPr>
        <w:instrText xml:space="preserve"> SEQ Table \* ARABIC </w:instrText>
      </w:r>
      <w:r>
        <w:rPr>
          <w:b/>
          <w:bCs/>
          <w:color w:val="000000"/>
          <w:sz w:val="24"/>
          <w:szCs w:val="24"/>
        </w:rPr>
        <w:fldChar w:fldCharType="separate"/>
      </w:r>
      <w:r>
        <w:rPr>
          <w:b/>
          <w:bCs/>
          <w:color w:val="000000"/>
          <w:sz w:val="24"/>
          <w:szCs w:val="24"/>
        </w:rPr>
        <w:t>10</w:t>
      </w:r>
      <w:r>
        <w:rPr>
          <w:b/>
          <w:bCs/>
          <w:color w:val="000000"/>
          <w:sz w:val="24"/>
          <w:szCs w:val="24"/>
        </w:rPr>
        <w:fldChar w:fldCharType="end"/>
      </w:r>
      <w:r>
        <w:rPr>
          <w:b/>
          <w:bCs/>
          <w:color w:val="000000"/>
          <w:sz w:val="24"/>
          <w:szCs w:val="24"/>
        </w:rPr>
        <w:t>: Summary of Normality Test Results</w:t>
      </w:r>
      <w:bookmarkEnd w:id="145"/>
    </w:p>
    <w:tbl>
      <w:tblPr>
        <w:tblStyle w:val="4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00"/>
        <w:gridCol w:w="3149"/>
        <w:gridCol w:w="38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bottom w:val="single" w:color="auto" w:sz="4" w:space="0"/>
            </w:tcBorders>
            <w:shd w:val="clear" w:color="auto" w:fill="DBE5F1"/>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b w:val="0"/>
                <w:bCs w:val="0"/>
                <w:sz w:val="20"/>
                <w:szCs w:val="20"/>
              </w:rPr>
            </w:pPr>
            <w:r>
              <w:rPr>
                <w:rFonts w:hint="eastAsia" w:eastAsia="Times New Roman" w:cs="Times New Roman"/>
                <w:b/>
                <w:bCs/>
                <w:sz w:val="20"/>
                <w:szCs w:val="20"/>
              </w:rPr>
              <w:t>Test Method</w:t>
            </w:r>
          </w:p>
        </w:tc>
        <w:tc>
          <w:tcPr>
            <w:tcW w:w="0" w:type="auto"/>
            <w:tcBorders>
              <w:top w:val="single" w:color="auto" w:sz="4" w:space="0"/>
              <w:bottom w:val="single" w:color="auto" w:sz="4" w:space="0"/>
            </w:tcBorders>
            <w:shd w:val="clear" w:color="auto" w:fill="DBE5F1"/>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b w:val="0"/>
                <w:bCs w:val="0"/>
                <w:sz w:val="20"/>
                <w:szCs w:val="20"/>
              </w:rPr>
            </w:pPr>
            <w:r>
              <w:rPr>
                <w:rFonts w:hint="eastAsia" w:eastAsia="Times New Roman" w:cs="Times New Roman"/>
                <w:b/>
                <w:bCs/>
                <w:sz w:val="20"/>
                <w:szCs w:val="20"/>
              </w:rPr>
              <w:t>Results</w:t>
            </w:r>
          </w:p>
        </w:tc>
        <w:tc>
          <w:tcPr>
            <w:tcW w:w="0" w:type="auto"/>
            <w:tcBorders>
              <w:top w:val="single" w:color="auto" w:sz="4" w:space="0"/>
              <w:bottom w:val="single" w:color="auto" w:sz="4" w:space="0"/>
            </w:tcBorders>
            <w:shd w:val="clear" w:color="auto" w:fill="DBE5F1"/>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b w:val="0"/>
                <w:bCs w:val="0"/>
                <w:sz w:val="20"/>
                <w:szCs w:val="20"/>
              </w:rPr>
            </w:pPr>
            <w:r>
              <w:rPr>
                <w:rFonts w:hint="eastAsia" w:eastAsia="Times New Roman" w:cs="Times New Roman"/>
                <w:b/>
                <w:bCs/>
                <w:sz w:val="20"/>
                <w:szCs w:val="20"/>
              </w:rPr>
              <w:t>Interpretation</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tcBorders>
          </w:tcPr>
          <w:p>
            <w:pPr>
              <w:keepNext w:val="0"/>
              <w:keepLines w:val="0"/>
              <w:widowControl/>
              <w:suppressLineNumbers w:val="0"/>
              <w:spacing w:before="0" w:beforeAutospacing="0" w:after="0" w:afterAutospacing="0" w:line="240" w:lineRule="auto"/>
              <w:ind w:left="0" w:right="0"/>
              <w:jc w:val="left"/>
              <w:rPr>
                <w:rFonts w:hint="eastAsia" w:eastAsia="Times New Roman" w:cs="Times New Roman"/>
                <w:b w:val="0"/>
                <w:bCs w:val="0"/>
                <w:sz w:val="20"/>
                <w:szCs w:val="20"/>
              </w:rPr>
            </w:pPr>
            <w:r>
              <w:rPr>
                <w:rFonts w:hint="eastAsia" w:eastAsia="Times New Roman" w:cs="Times New Roman"/>
                <w:b/>
                <w:bCs/>
                <w:sz w:val="20"/>
                <w:szCs w:val="20"/>
              </w:rPr>
              <w:t>P-P Plot</w:t>
            </w:r>
          </w:p>
        </w:tc>
        <w:tc>
          <w:tcPr>
            <w:tcW w:w="0" w:type="auto"/>
            <w:tcBorders>
              <w:top w:val="single" w:color="auto" w:sz="4" w:space="0"/>
            </w:tcBorders>
          </w:tcPr>
          <w:p>
            <w:pPr>
              <w:keepNext w:val="0"/>
              <w:keepLines w:val="0"/>
              <w:widowControl/>
              <w:suppressLineNumbers w:val="0"/>
              <w:spacing w:before="0" w:beforeAutospacing="0" w:after="0" w:afterAutospacing="0" w:line="240" w:lineRule="auto"/>
              <w:ind w:left="0" w:right="0"/>
              <w:jc w:val="left"/>
              <w:rPr>
                <w:rFonts w:hint="eastAsia" w:eastAsia="Times New Roman" w:cs="Times New Roman"/>
                <w:sz w:val="20"/>
                <w:szCs w:val="20"/>
              </w:rPr>
            </w:pPr>
            <w:r>
              <w:rPr>
                <w:rFonts w:hint="eastAsia" w:eastAsia="Times New Roman" w:cs="Times New Roman"/>
                <w:sz w:val="20"/>
                <w:szCs w:val="20"/>
              </w:rPr>
              <w:t>Residuals closely follow normal line</w:t>
            </w:r>
          </w:p>
        </w:tc>
        <w:tc>
          <w:tcPr>
            <w:tcW w:w="0" w:type="auto"/>
            <w:tcBorders>
              <w:top w:val="single" w:color="auto" w:sz="4" w:space="0"/>
            </w:tcBorders>
          </w:tcPr>
          <w:p>
            <w:pPr>
              <w:keepNext w:val="0"/>
              <w:keepLines w:val="0"/>
              <w:widowControl/>
              <w:suppressLineNumbers w:val="0"/>
              <w:spacing w:before="0" w:beforeAutospacing="0" w:after="0" w:afterAutospacing="0" w:line="240" w:lineRule="auto"/>
              <w:ind w:left="0" w:right="0"/>
              <w:jc w:val="left"/>
              <w:rPr>
                <w:rFonts w:hint="eastAsia" w:eastAsia="Times New Roman" w:cs="Times New Roman"/>
                <w:sz w:val="20"/>
                <w:szCs w:val="20"/>
              </w:rPr>
            </w:pPr>
            <w:r>
              <w:rPr>
                <w:rFonts w:hint="eastAsia" w:eastAsia="Times New Roman" w:cs="Times New Roman"/>
                <w:sz w:val="20"/>
                <w:szCs w:val="20"/>
              </w:rPr>
              <w:t>Normality assumption met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0" w:type="auto"/>
            <w:tcBorders>
              <w:bottom w:val="single" w:color="auto" w:sz="4" w:space="0"/>
            </w:tcBorders>
          </w:tcPr>
          <w:p>
            <w:pPr>
              <w:keepNext w:val="0"/>
              <w:keepLines w:val="0"/>
              <w:widowControl/>
              <w:suppressLineNumbers w:val="0"/>
              <w:spacing w:before="0" w:beforeAutospacing="0" w:after="0" w:afterAutospacing="0" w:line="240" w:lineRule="auto"/>
              <w:ind w:left="0" w:right="0"/>
              <w:jc w:val="left"/>
              <w:rPr>
                <w:rFonts w:hint="eastAsia" w:eastAsia="Times New Roman" w:cs="Times New Roman"/>
                <w:b w:val="0"/>
                <w:bCs w:val="0"/>
                <w:sz w:val="20"/>
                <w:szCs w:val="20"/>
              </w:rPr>
            </w:pPr>
            <w:r>
              <w:rPr>
                <w:rFonts w:hint="eastAsia" w:eastAsia="Times New Roman" w:cs="Times New Roman"/>
                <w:b/>
                <w:bCs/>
                <w:sz w:val="20"/>
                <w:szCs w:val="20"/>
              </w:rPr>
              <w:t>Shapiro-Wilk Test</w:t>
            </w:r>
          </w:p>
        </w:tc>
        <w:tc>
          <w:tcPr>
            <w:tcW w:w="0" w:type="auto"/>
            <w:tcBorders>
              <w:bottom w:val="single" w:color="auto" w:sz="4" w:space="0"/>
            </w:tcBorders>
          </w:tcPr>
          <w:p>
            <w:pPr>
              <w:keepNext w:val="0"/>
              <w:keepLines w:val="0"/>
              <w:widowControl/>
              <w:suppressLineNumbers w:val="0"/>
              <w:spacing w:before="0" w:beforeAutospacing="0" w:after="0" w:afterAutospacing="0" w:line="240" w:lineRule="auto"/>
              <w:ind w:left="0" w:right="0"/>
              <w:jc w:val="left"/>
              <w:rPr>
                <w:rFonts w:hint="eastAsia" w:eastAsia="Times New Roman" w:cs="Times New Roman"/>
                <w:sz w:val="20"/>
                <w:szCs w:val="20"/>
              </w:rPr>
            </w:pPr>
            <w:r>
              <w:rPr>
                <w:rFonts w:hint="eastAsia" w:eastAsia="Times New Roman" w:cs="Times New Roman"/>
                <w:sz w:val="20"/>
                <w:szCs w:val="20"/>
              </w:rPr>
              <w:t>p-value = 0.150</w:t>
            </w:r>
          </w:p>
        </w:tc>
        <w:tc>
          <w:tcPr>
            <w:tcW w:w="0" w:type="auto"/>
            <w:tcBorders>
              <w:bottom w:val="single" w:color="auto" w:sz="4" w:space="0"/>
            </w:tcBorders>
          </w:tcPr>
          <w:p>
            <w:pPr>
              <w:keepNext w:val="0"/>
              <w:keepLines w:val="0"/>
              <w:widowControl/>
              <w:suppressLineNumbers w:val="0"/>
              <w:spacing w:before="0" w:beforeAutospacing="0" w:after="0" w:afterAutospacing="0" w:line="240" w:lineRule="auto"/>
              <w:ind w:left="0" w:right="0"/>
              <w:jc w:val="left"/>
              <w:rPr>
                <w:rFonts w:hint="eastAsia" w:eastAsia="Times New Roman" w:cs="Times New Roman"/>
                <w:sz w:val="20"/>
                <w:szCs w:val="20"/>
              </w:rPr>
            </w:pPr>
            <w:r>
              <w:rPr>
                <w:rFonts w:hint="eastAsia" w:eastAsia="Times New Roman" w:cs="Times New Roman"/>
                <w:sz w:val="20"/>
                <w:szCs w:val="20"/>
              </w:rPr>
              <w:t>Residuals are normally distributed (p &gt; 0.05)</w:t>
            </w:r>
          </w:p>
        </w:tc>
      </w:tr>
    </w:tbl>
    <w:p>
      <w:r>
        <w:t>Source: research data,(2024)</w:t>
      </w:r>
    </w:p>
    <w:p>
      <w:pPr>
        <w:spacing w:before="100" w:beforeAutospacing="1" w:after="200"/>
        <w:rPr>
          <w:rFonts w:eastAsia="SimSun" w:cs="Times New Roman"/>
        </w:rPr>
      </w:pPr>
      <w:r>
        <w:rPr>
          <w:rFonts w:eastAsia="SimSun" w:cs="Times New Roman"/>
        </w:rPr>
        <w:t>To further confirm the findings from the P-P plot, the Shapiro-Wilk test was conducted. This statistical test provides a more formal assessment of normality. The resulting p-value was 0.150, which is greater than the conventional threshold of 0.05. Therefore, we fail to reject the null hypothesis, indicating that the residuals are normally distributed. This finding supports the validity of the regression analysis and suggests that the conclusions drawn from the model are likely to be robust. The confirmation of normality in the residuals implies that the linear regression model is appropriate for the data, allowing for accurate estimation of coefficients and reliable significance tests. If the normality assumption were violated, it could lead to distorted estimates and unreliable statistical inferences. Hence, meeting this assumption enhances the credibility of the analysis results (Gordis, 2016).</w:t>
      </w:r>
    </w:p>
    <w:p>
      <w:pPr>
        <w:pStyle w:val="4"/>
        <w:rPr>
          <w:rFonts w:eastAsia="Times New Roman"/>
        </w:rPr>
      </w:pPr>
      <w:bookmarkStart w:id="146" w:name="_Toc181542555"/>
      <w:bookmarkStart w:id="147" w:name="_Toc3211"/>
      <w:bookmarkStart w:id="148" w:name="_Toc181564472"/>
      <w:r>
        <w:rPr>
          <w:rFonts w:eastAsia="Times New Roman"/>
        </w:rPr>
        <w:t>4.5.2 Homoscedasticity Test</w:t>
      </w:r>
      <w:bookmarkEnd w:id="146"/>
      <w:bookmarkEnd w:id="147"/>
      <w:bookmarkEnd w:id="148"/>
    </w:p>
    <w:p>
      <w:pPr>
        <w:spacing w:before="0" w:after="0"/>
        <w:rPr>
          <w:rFonts w:eastAsia="SimSun" w:cs="Times New Roman"/>
        </w:rPr>
      </w:pPr>
      <w:r>
        <w:rPr>
          <w:rFonts w:eastAsia="SimSun" w:cs="Times New Roman"/>
        </w:rPr>
        <w:t>Homoscedasticity refers to the assumption that the variance of the residuals (errors) in a regression model is constant across all levels of the independent variables. Violations of this assumption, known as heteroscedasticity, can lead to inefficient estimates and affect the validity of statistical tests, particularly hypothesis testing.</w:t>
      </w:r>
    </w:p>
    <w:p>
      <w:pPr>
        <w:spacing w:before="100" w:beforeAutospacing="1" w:after="200"/>
        <w:rPr>
          <w:rFonts w:eastAsia="SimSun" w:cs="Times New Roman"/>
        </w:rPr>
      </w:pPr>
      <w:r>
        <w:rPr>
          <w:rFonts w:eastAsia="SimSun" w:cs="Times New Roman"/>
        </w:rPr>
        <w:t>To evaluate the homoscedasticity of the residuals in this study, the Breusch-Pagan test was conducted. This test assesses whether the residual variance is related to the independent variables. The null hypothesis of the Breusch-Pagan test states that the residuals are homoscedastic (i.e., have constant variance).</w:t>
      </w:r>
    </w:p>
    <w:p>
      <w:pPr>
        <w:spacing w:before="100" w:beforeAutospacing="1" w:after="200"/>
        <w:rPr>
          <w:rFonts w:eastAsia="SimSun" w:cs="Times New Roman"/>
        </w:rPr>
      </w:pPr>
      <w:r>
        <w:rPr>
          <w:rFonts w:eastAsia="SimSun" w:cs="Times New Roman"/>
        </w:rPr>
        <w:t>The Breusch-Pagan test yielded a p-value of 0.217. Since this p-value is greater than the conventional significance level of 0.05, we fail to reject the null hypothesis. This finding indicates that there is no statistically significant evidence of heteroscedasticity among the residuals. Therefore, the assumption of homoscedasticity is satisfied.</w:t>
      </w:r>
    </w:p>
    <w:p>
      <w:pPr>
        <w:pStyle w:val="12"/>
        <w:keepNext/>
        <w:rPr>
          <w:b/>
          <w:bCs/>
          <w:color w:val="auto"/>
          <w:sz w:val="24"/>
          <w:szCs w:val="24"/>
        </w:rPr>
      </w:pPr>
      <w:bookmarkStart w:id="149" w:name="_Toc182070299"/>
      <w:r>
        <w:rPr>
          <w:b/>
          <w:bCs/>
          <w:color w:val="auto"/>
          <w:sz w:val="24"/>
          <w:szCs w:val="24"/>
        </w:rPr>
        <w:t>Table 4.</w:t>
      </w:r>
      <w:r>
        <w:rPr>
          <w:b/>
          <w:bCs/>
          <w:color w:val="auto"/>
          <w:sz w:val="24"/>
          <w:szCs w:val="24"/>
        </w:rPr>
        <w:fldChar w:fldCharType="begin"/>
      </w:r>
      <w:r>
        <w:rPr>
          <w:b/>
          <w:bCs/>
          <w:color w:val="auto"/>
          <w:sz w:val="24"/>
          <w:szCs w:val="24"/>
        </w:rPr>
        <w:instrText xml:space="preserve"> SEQ Table \* ARABIC </w:instrText>
      </w:r>
      <w:r>
        <w:rPr>
          <w:b/>
          <w:bCs/>
          <w:color w:val="auto"/>
          <w:sz w:val="24"/>
          <w:szCs w:val="24"/>
        </w:rPr>
        <w:fldChar w:fldCharType="separate"/>
      </w:r>
      <w:r>
        <w:rPr>
          <w:b/>
          <w:bCs/>
          <w:color w:val="auto"/>
          <w:sz w:val="24"/>
          <w:szCs w:val="24"/>
        </w:rPr>
        <w:t>11</w:t>
      </w:r>
      <w:r>
        <w:rPr>
          <w:b/>
          <w:bCs/>
          <w:color w:val="auto"/>
          <w:sz w:val="24"/>
          <w:szCs w:val="24"/>
        </w:rPr>
        <w:fldChar w:fldCharType="end"/>
      </w:r>
      <w:r>
        <w:rPr>
          <w:b/>
          <w:bCs/>
          <w:color w:val="auto"/>
          <w:sz w:val="24"/>
          <w:szCs w:val="24"/>
        </w:rPr>
        <w:t>:</w:t>
      </w:r>
      <w:r>
        <w:rPr>
          <w:rFonts w:eastAsia="SimHei" w:cs="Times New Roman"/>
          <w:b/>
          <w:bCs/>
          <w:color w:val="auto"/>
          <w:sz w:val="24"/>
          <w:szCs w:val="24"/>
        </w:rPr>
        <w:t xml:space="preserve"> </w:t>
      </w:r>
      <w:r>
        <w:rPr>
          <w:b/>
          <w:bCs/>
          <w:color w:val="auto"/>
          <w:sz w:val="24"/>
          <w:szCs w:val="24"/>
        </w:rPr>
        <w:t>Summary of Homoscedasticity Test Results</w:t>
      </w:r>
      <w:bookmarkEnd w:id="149"/>
    </w:p>
    <w:tbl>
      <w:tblPr>
        <w:tblStyle w:val="44"/>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32"/>
        <w:gridCol w:w="831"/>
        <w:gridCol w:w="3173"/>
        <w:gridCol w:w="3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bottom w:val="single" w:color="auto" w:sz="4" w:space="0"/>
            </w:tcBorders>
            <w:shd w:val="clear" w:color="auto" w:fill="DBE5F1"/>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b w:val="0"/>
                <w:bCs w:val="0"/>
                <w:sz w:val="20"/>
                <w:szCs w:val="20"/>
              </w:rPr>
            </w:pPr>
            <w:r>
              <w:rPr>
                <w:rFonts w:hint="eastAsia" w:eastAsia="Times New Roman" w:cs="Times New Roman"/>
                <w:b/>
                <w:bCs/>
                <w:sz w:val="20"/>
                <w:szCs w:val="20"/>
              </w:rPr>
              <w:t>Test Method</w:t>
            </w:r>
          </w:p>
        </w:tc>
        <w:tc>
          <w:tcPr>
            <w:tcW w:w="0" w:type="auto"/>
            <w:tcBorders>
              <w:top w:val="single" w:color="auto" w:sz="4" w:space="0"/>
              <w:bottom w:val="single" w:color="auto" w:sz="4" w:space="0"/>
            </w:tcBorders>
            <w:shd w:val="clear" w:color="auto" w:fill="DBE5F1"/>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b w:val="0"/>
                <w:bCs w:val="0"/>
                <w:sz w:val="20"/>
                <w:szCs w:val="20"/>
              </w:rPr>
            </w:pPr>
            <w:r>
              <w:rPr>
                <w:rFonts w:hint="eastAsia" w:eastAsia="Times New Roman" w:cs="Times New Roman"/>
                <w:b/>
                <w:bCs/>
                <w:sz w:val="20"/>
                <w:szCs w:val="20"/>
              </w:rPr>
              <w:t>p-value</w:t>
            </w:r>
          </w:p>
        </w:tc>
        <w:tc>
          <w:tcPr>
            <w:tcW w:w="0" w:type="auto"/>
            <w:tcBorders>
              <w:top w:val="single" w:color="auto" w:sz="4" w:space="0"/>
              <w:bottom w:val="single" w:color="auto" w:sz="4" w:space="0"/>
            </w:tcBorders>
            <w:shd w:val="clear" w:color="auto" w:fill="DBE5F1"/>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b w:val="0"/>
                <w:bCs w:val="0"/>
                <w:sz w:val="20"/>
                <w:szCs w:val="20"/>
              </w:rPr>
            </w:pPr>
            <w:r>
              <w:rPr>
                <w:rFonts w:hint="eastAsia" w:eastAsia="Times New Roman" w:cs="Times New Roman"/>
                <w:b/>
                <w:bCs/>
                <w:sz w:val="20"/>
                <w:szCs w:val="20"/>
              </w:rPr>
              <w:t>Interpretation</w:t>
            </w:r>
          </w:p>
        </w:tc>
        <w:tc>
          <w:tcPr>
            <w:tcW w:w="0" w:type="auto"/>
            <w:tcBorders>
              <w:top w:val="single" w:color="auto" w:sz="4" w:space="0"/>
              <w:bottom w:val="single" w:color="auto" w:sz="4" w:space="0"/>
            </w:tcBorders>
            <w:shd w:val="clear" w:color="auto" w:fill="DBE5F1"/>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b w:val="0"/>
                <w:bCs w:val="0"/>
                <w:sz w:val="20"/>
                <w:szCs w:val="20"/>
              </w:rPr>
            </w:pPr>
            <w:r>
              <w:rPr>
                <w:rFonts w:hint="eastAsia" w:eastAsia="Times New Roman" w:cs="Times New Roman"/>
                <w:b/>
                <w:bCs/>
                <w:sz w:val="20"/>
                <w:szCs w:val="20"/>
              </w:rPr>
              <w:t>Conclusion</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bottom w:val="single" w:color="auto" w:sz="4" w:space="0"/>
            </w:tcBorders>
          </w:tcPr>
          <w:p>
            <w:pPr>
              <w:keepNext w:val="0"/>
              <w:keepLines w:val="0"/>
              <w:widowControl/>
              <w:suppressLineNumbers w:val="0"/>
              <w:spacing w:before="0" w:beforeAutospacing="0" w:after="0" w:afterAutospacing="0" w:line="240" w:lineRule="auto"/>
              <w:ind w:left="0" w:right="0"/>
              <w:jc w:val="left"/>
              <w:rPr>
                <w:rFonts w:hint="eastAsia" w:eastAsia="Times New Roman" w:cs="Times New Roman"/>
                <w:b w:val="0"/>
                <w:bCs w:val="0"/>
                <w:sz w:val="20"/>
                <w:szCs w:val="20"/>
              </w:rPr>
            </w:pPr>
            <w:r>
              <w:rPr>
                <w:rFonts w:hint="eastAsia" w:eastAsia="Times New Roman" w:cs="Times New Roman"/>
                <w:b/>
                <w:bCs/>
                <w:sz w:val="20"/>
                <w:szCs w:val="20"/>
              </w:rPr>
              <w:t>Breusch-Pagan Test</w:t>
            </w:r>
          </w:p>
        </w:tc>
        <w:tc>
          <w:tcPr>
            <w:tcW w:w="0" w:type="auto"/>
            <w:tcBorders>
              <w:top w:val="single" w:color="auto" w:sz="4" w:space="0"/>
              <w:bottom w:val="single" w:color="auto" w:sz="4" w:space="0"/>
            </w:tcBorders>
          </w:tcPr>
          <w:p>
            <w:pPr>
              <w:keepNext w:val="0"/>
              <w:keepLines w:val="0"/>
              <w:widowControl/>
              <w:suppressLineNumbers w:val="0"/>
              <w:spacing w:before="0" w:beforeAutospacing="0" w:after="0" w:afterAutospacing="0" w:line="240" w:lineRule="auto"/>
              <w:ind w:left="0" w:right="0"/>
              <w:jc w:val="left"/>
              <w:rPr>
                <w:rFonts w:hint="eastAsia" w:eastAsia="Times New Roman" w:cs="Times New Roman"/>
                <w:sz w:val="20"/>
                <w:szCs w:val="20"/>
              </w:rPr>
            </w:pPr>
            <w:r>
              <w:rPr>
                <w:rFonts w:hint="eastAsia" w:eastAsia="Times New Roman" w:cs="Times New Roman"/>
                <w:sz w:val="20"/>
                <w:szCs w:val="20"/>
              </w:rPr>
              <w:t>0.217</w:t>
            </w:r>
          </w:p>
        </w:tc>
        <w:tc>
          <w:tcPr>
            <w:tcW w:w="0" w:type="auto"/>
            <w:tcBorders>
              <w:top w:val="single" w:color="auto" w:sz="4" w:space="0"/>
              <w:bottom w:val="single" w:color="auto" w:sz="4" w:space="0"/>
            </w:tcBorders>
          </w:tcPr>
          <w:p>
            <w:pPr>
              <w:keepNext w:val="0"/>
              <w:keepLines w:val="0"/>
              <w:widowControl/>
              <w:suppressLineNumbers w:val="0"/>
              <w:spacing w:before="0" w:beforeAutospacing="0" w:after="0" w:afterAutospacing="0" w:line="240" w:lineRule="auto"/>
              <w:ind w:left="0" w:right="0"/>
              <w:jc w:val="left"/>
              <w:rPr>
                <w:rFonts w:hint="eastAsia" w:eastAsia="Times New Roman" w:cs="Times New Roman"/>
                <w:sz w:val="20"/>
                <w:szCs w:val="20"/>
              </w:rPr>
            </w:pPr>
            <w:r>
              <w:rPr>
                <w:rFonts w:hint="eastAsia" w:eastAsia="Times New Roman" w:cs="Times New Roman"/>
                <w:sz w:val="20"/>
                <w:szCs w:val="20"/>
              </w:rPr>
              <w:t>No significant heteroscedasticity found</w:t>
            </w:r>
          </w:p>
        </w:tc>
        <w:tc>
          <w:tcPr>
            <w:tcW w:w="0" w:type="auto"/>
            <w:tcBorders>
              <w:top w:val="single" w:color="auto" w:sz="4" w:space="0"/>
              <w:bottom w:val="single" w:color="auto" w:sz="4" w:space="0"/>
            </w:tcBorders>
          </w:tcPr>
          <w:p>
            <w:pPr>
              <w:keepNext w:val="0"/>
              <w:keepLines w:val="0"/>
              <w:widowControl/>
              <w:suppressLineNumbers w:val="0"/>
              <w:spacing w:before="0" w:beforeAutospacing="0" w:after="0" w:afterAutospacing="0" w:line="240" w:lineRule="auto"/>
              <w:ind w:left="0" w:right="0"/>
              <w:jc w:val="left"/>
              <w:rPr>
                <w:rFonts w:hint="eastAsia" w:eastAsia="Times New Roman" w:cs="Times New Roman"/>
                <w:sz w:val="20"/>
                <w:szCs w:val="20"/>
              </w:rPr>
            </w:pPr>
            <w:r>
              <w:rPr>
                <w:rFonts w:hint="eastAsia" w:eastAsia="Times New Roman" w:cs="Times New Roman"/>
                <w:sz w:val="20"/>
                <w:szCs w:val="20"/>
              </w:rPr>
              <w:t>Assumption of homoscedasticity met</w:t>
            </w:r>
          </w:p>
        </w:tc>
      </w:tr>
    </w:tbl>
    <w:p>
      <w:r>
        <w:t>Source: research data,(2024)</w:t>
      </w:r>
    </w:p>
    <w:p>
      <w:pPr>
        <w:spacing w:before="100" w:beforeAutospacing="1" w:after="200"/>
        <w:rPr>
          <w:rFonts w:eastAsia="SimSun" w:cs="Times New Roman"/>
        </w:rPr>
      </w:pPr>
      <w:r>
        <w:rPr>
          <w:rFonts w:eastAsia="SimSun" w:cs="Times New Roman"/>
        </w:rPr>
        <w:t>Meeting the homoscedasticity assumption implies that the residuals exhibit consistent variance across different levels of the independent variables. This consistency is crucial for the reliability of regression analysis, as it enhances the efficiency of the coefficient estimates (Field, 2018) and ensures that statistical inference, such as confidence intervals and hypothesis tests, is valid (Myers &amp; Montgomery, 2010). When homoscedasticity is present, it indicates that the model can be trusted to provide unbiased and precise predictions, which supports the overall integrity of the research findings (Tabachnick &amp; Fidell, 2013).</w:t>
      </w:r>
    </w:p>
    <w:p>
      <w:pPr>
        <w:pStyle w:val="4"/>
        <w:rPr>
          <w:rFonts w:eastAsia="Times New Roman"/>
        </w:rPr>
      </w:pPr>
      <w:bookmarkStart w:id="150" w:name="_Toc7080"/>
      <w:bookmarkStart w:id="151" w:name="_Toc181542557"/>
      <w:bookmarkStart w:id="152" w:name="_Toc181564473"/>
      <w:r>
        <w:rPr>
          <w:rFonts w:eastAsia="Times New Roman"/>
        </w:rPr>
        <w:t>4.5.3 Multicollinearity Test</w:t>
      </w:r>
      <w:bookmarkEnd w:id="150"/>
      <w:bookmarkEnd w:id="151"/>
      <w:bookmarkEnd w:id="152"/>
    </w:p>
    <w:p>
      <w:pPr>
        <w:spacing w:before="0" w:after="0"/>
        <w:rPr>
          <w:rFonts w:eastAsia="SimSun" w:cs="Times New Roman"/>
        </w:rPr>
      </w:pPr>
      <w:r>
        <w:rPr>
          <w:rFonts w:eastAsia="SimSun" w:cs="Times New Roman"/>
        </w:rPr>
        <w:t>To assess multicollinearity among the independent variables, the Variance Inflation Factor (VIF) and Tolerance values were calculated. The VIF values for each independent variable ranged from 1.25 to 2.08, which are well below the commonly accepted threshold of 5. These results indicate an acceptable level of multicollinearity, suggesting that the independent variables do not exhibit high correlations that could distort the regression model.</w:t>
      </w:r>
    </w:p>
    <w:p>
      <w:pPr>
        <w:spacing w:before="100" w:beforeAutospacing="1" w:after="200"/>
        <w:rPr>
          <w:rFonts w:eastAsia="SimSun" w:cs="Times New Roman"/>
        </w:rPr>
      </w:pPr>
      <w:r>
        <w:rPr>
          <w:rFonts w:eastAsia="SimSun" w:cs="Times New Roman"/>
        </w:rPr>
        <w:t>Low VIF values imply that the independent variables contribute unique information to the regression model, thereby enhancing the reliability of the coefficient estimates. Multicollinearity can lead to inflated standard errors, making it difficult to determine the individual effect of each variable (Hair et al., 2010). In this study, the absence of significant multicollinearity supports the validity of the regression results and provides confidence that the relationships among the variables can be interpreted accurately.</w:t>
      </w:r>
    </w:p>
    <w:p>
      <w:pPr>
        <w:keepNext/>
        <w:spacing w:before="100" w:beforeAutospacing="1" w:after="200"/>
        <w:rPr>
          <w:rFonts w:eastAsia="SimHei" w:cs="Times New Roman"/>
          <w:b/>
          <w:bCs/>
          <w:i/>
          <w:iCs/>
          <w:szCs w:val="24"/>
        </w:rPr>
      </w:pPr>
      <w:bookmarkStart w:id="153" w:name="_Toc181564374"/>
      <w:bookmarkStart w:id="154" w:name="_Toc182070300"/>
      <w:bookmarkStart w:id="155" w:name="_Toc181543347"/>
      <w:r>
        <w:rPr>
          <w:rFonts w:eastAsia="SimHei" w:cs="Times New Roman"/>
          <w:b/>
          <w:bCs/>
          <w:i/>
          <w:iCs/>
          <w:szCs w:val="24"/>
        </w:rPr>
        <w:t>Table 4.</w:t>
      </w:r>
      <w:r>
        <w:rPr>
          <w:rFonts w:eastAsia="SimHei" w:cs="Times New Roman"/>
          <w:b/>
          <w:bCs/>
          <w:i/>
          <w:iCs/>
          <w:szCs w:val="24"/>
        </w:rPr>
        <w:fldChar w:fldCharType="begin"/>
      </w:r>
      <w:r>
        <w:rPr>
          <w:rFonts w:eastAsia="SimHei" w:cs="Times New Roman"/>
          <w:b/>
          <w:bCs/>
          <w:i/>
          <w:iCs/>
          <w:szCs w:val="24"/>
        </w:rPr>
        <w:instrText xml:space="preserve"> SEQ Table \* ARABIC </w:instrText>
      </w:r>
      <w:r>
        <w:rPr>
          <w:rFonts w:eastAsia="SimHei" w:cs="Times New Roman"/>
          <w:b/>
          <w:bCs/>
          <w:i/>
          <w:iCs/>
          <w:szCs w:val="24"/>
        </w:rPr>
        <w:fldChar w:fldCharType="separate"/>
      </w:r>
      <w:r>
        <w:rPr>
          <w:rFonts w:eastAsia="SimHei" w:cs="Times New Roman"/>
          <w:b/>
          <w:bCs/>
          <w:i/>
          <w:iCs/>
          <w:szCs w:val="24"/>
        </w:rPr>
        <w:t>12</w:t>
      </w:r>
      <w:r>
        <w:rPr>
          <w:rFonts w:eastAsia="SimHei" w:cs="Times New Roman"/>
          <w:b/>
          <w:bCs/>
          <w:i/>
          <w:iCs/>
          <w:szCs w:val="24"/>
        </w:rPr>
        <w:fldChar w:fldCharType="end"/>
      </w:r>
      <w:r>
        <w:rPr>
          <w:rFonts w:eastAsia="SimHei" w:cs="Times New Roman"/>
          <w:b/>
          <w:bCs/>
          <w:i/>
          <w:iCs/>
          <w:szCs w:val="24"/>
        </w:rPr>
        <w:t>: Multicollinearity Results</w:t>
      </w:r>
      <w:bookmarkEnd w:id="153"/>
      <w:bookmarkEnd w:id="154"/>
      <w:bookmarkEnd w:id="155"/>
    </w:p>
    <w:tbl>
      <w:tblPr>
        <w:tblStyle w:val="43"/>
        <w:tblW w:w="0" w:type="auto"/>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230"/>
        <w:gridCol w:w="1980"/>
        <w:gridCol w:w="2012"/>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230" w:type="dxa"/>
            <w:tcBorders>
              <w:top w:val="single" w:color="auto" w:sz="4" w:space="0"/>
              <w:bottom w:val="single" w:color="auto" w:sz="4" w:space="0"/>
            </w:tcBorders>
            <w:shd w:val="clear" w:color="auto" w:fill="DBE5F1"/>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b/>
                <w:bCs/>
                <w:sz w:val="20"/>
                <w:szCs w:val="20"/>
              </w:rPr>
            </w:pPr>
            <w:r>
              <w:rPr>
                <w:rFonts w:hint="eastAsia" w:eastAsia="Times New Roman" w:cs="Times New Roman"/>
                <w:b/>
                <w:bCs/>
                <w:sz w:val="20"/>
                <w:szCs w:val="20"/>
              </w:rPr>
              <w:t>Independent Variable</w:t>
            </w:r>
          </w:p>
        </w:tc>
        <w:tc>
          <w:tcPr>
            <w:tcW w:w="1980" w:type="dxa"/>
            <w:tcBorders>
              <w:top w:val="single" w:color="auto" w:sz="4" w:space="0"/>
              <w:bottom w:val="single" w:color="auto" w:sz="4" w:space="0"/>
            </w:tcBorders>
            <w:shd w:val="clear" w:color="auto" w:fill="DBE5F1"/>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b/>
                <w:bCs/>
                <w:sz w:val="20"/>
                <w:szCs w:val="20"/>
              </w:rPr>
            </w:pPr>
            <w:r>
              <w:rPr>
                <w:rFonts w:hint="eastAsia" w:eastAsia="Times New Roman" w:cs="Times New Roman"/>
                <w:b/>
                <w:bCs/>
                <w:sz w:val="20"/>
                <w:szCs w:val="20"/>
              </w:rPr>
              <w:t>Tolerance</w:t>
            </w:r>
          </w:p>
        </w:tc>
        <w:tc>
          <w:tcPr>
            <w:tcW w:w="2012" w:type="dxa"/>
            <w:tcBorders>
              <w:top w:val="single" w:color="auto" w:sz="4" w:space="0"/>
              <w:bottom w:val="single" w:color="auto" w:sz="4" w:space="0"/>
            </w:tcBorders>
            <w:shd w:val="clear" w:color="auto" w:fill="DBE5F1"/>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b/>
                <w:bCs/>
                <w:sz w:val="20"/>
                <w:szCs w:val="20"/>
              </w:rPr>
            </w:pPr>
            <w:r>
              <w:rPr>
                <w:rFonts w:hint="eastAsia" w:eastAsia="Times New Roman" w:cs="Times New Roman"/>
                <w:b/>
                <w:bCs/>
                <w:sz w:val="20"/>
                <w:szCs w:val="20"/>
              </w:rPr>
              <w:t>Variance Inflation Factor (VIF)</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230" w:type="dxa"/>
            <w:tcBorders>
              <w:top w:val="single" w:color="auto" w:sz="4" w:space="0"/>
            </w:tcBorders>
          </w:tcPr>
          <w:p>
            <w:pPr>
              <w:keepNext w:val="0"/>
              <w:keepLines w:val="0"/>
              <w:widowControl/>
              <w:suppressLineNumbers w:val="0"/>
              <w:spacing w:before="0" w:beforeAutospacing="0" w:after="0" w:afterAutospacing="0" w:line="240" w:lineRule="auto"/>
              <w:ind w:left="0" w:right="0"/>
              <w:jc w:val="left"/>
              <w:rPr>
                <w:rFonts w:hint="eastAsia" w:eastAsia="Times New Roman" w:cs="Times New Roman"/>
                <w:sz w:val="20"/>
                <w:szCs w:val="20"/>
              </w:rPr>
            </w:pPr>
            <w:r>
              <w:rPr>
                <w:rFonts w:hint="eastAsia" w:eastAsia="Times New Roman" w:cs="Times New Roman"/>
                <w:sz w:val="20"/>
                <w:szCs w:val="20"/>
              </w:rPr>
              <w:t>Lack of Adequate Resources</w:t>
            </w:r>
          </w:p>
        </w:tc>
        <w:tc>
          <w:tcPr>
            <w:tcW w:w="1980" w:type="dxa"/>
            <w:tcBorders>
              <w:top w:val="single" w:color="auto" w:sz="4" w:space="0"/>
            </w:tcBorders>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sz w:val="20"/>
                <w:szCs w:val="20"/>
              </w:rPr>
            </w:pPr>
            <w:r>
              <w:rPr>
                <w:rFonts w:hint="eastAsia" w:eastAsia="Times New Roman" w:cs="Times New Roman"/>
                <w:sz w:val="20"/>
                <w:szCs w:val="20"/>
              </w:rPr>
              <w:t>0.80</w:t>
            </w:r>
          </w:p>
        </w:tc>
        <w:tc>
          <w:tcPr>
            <w:tcW w:w="2012" w:type="dxa"/>
            <w:tcBorders>
              <w:top w:val="single" w:color="auto" w:sz="4" w:space="0"/>
            </w:tcBorders>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sz w:val="20"/>
                <w:szCs w:val="20"/>
              </w:rPr>
            </w:pPr>
            <w:r>
              <w:rPr>
                <w:rFonts w:hint="eastAsia" w:eastAsia="Times New Roman" w:cs="Times New Roman"/>
                <w:sz w:val="20"/>
                <w:szCs w:val="20"/>
              </w:rPr>
              <w:t>1.25</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230" w:type="dxa"/>
          </w:tcPr>
          <w:p>
            <w:pPr>
              <w:keepNext w:val="0"/>
              <w:keepLines w:val="0"/>
              <w:widowControl/>
              <w:suppressLineNumbers w:val="0"/>
              <w:spacing w:before="0" w:beforeAutospacing="0" w:after="0" w:afterAutospacing="0" w:line="240" w:lineRule="auto"/>
              <w:ind w:left="0" w:right="0"/>
              <w:jc w:val="left"/>
              <w:rPr>
                <w:rFonts w:hint="eastAsia" w:eastAsia="Times New Roman" w:cs="Times New Roman"/>
                <w:sz w:val="20"/>
                <w:szCs w:val="20"/>
              </w:rPr>
            </w:pPr>
            <w:r>
              <w:rPr>
                <w:rFonts w:hint="eastAsia" w:eastAsia="Times New Roman" w:cs="Times New Roman"/>
                <w:sz w:val="20"/>
                <w:szCs w:val="20"/>
              </w:rPr>
              <w:t>Inadequate Planning and Coordination</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sz w:val="20"/>
                <w:szCs w:val="20"/>
              </w:rPr>
            </w:pPr>
            <w:r>
              <w:rPr>
                <w:rFonts w:hint="eastAsia" w:eastAsia="Times New Roman" w:cs="Times New Roman"/>
                <w:sz w:val="20"/>
                <w:szCs w:val="20"/>
              </w:rPr>
              <w:t>0.69</w:t>
            </w:r>
          </w:p>
        </w:tc>
        <w:tc>
          <w:tcPr>
            <w:tcW w:w="2012" w:type="dxa"/>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sz w:val="20"/>
                <w:szCs w:val="20"/>
              </w:rPr>
            </w:pPr>
            <w:r>
              <w:rPr>
                <w:rFonts w:hint="eastAsia" w:eastAsia="Times New Roman" w:cs="Times New Roman"/>
                <w:sz w:val="20"/>
                <w:szCs w:val="20"/>
              </w:rPr>
              <w:t>1.45</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230" w:type="dxa"/>
          </w:tcPr>
          <w:p>
            <w:pPr>
              <w:keepNext w:val="0"/>
              <w:keepLines w:val="0"/>
              <w:widowControl/>
              <w:suppressLineNumbers w:val="0"/>
              <w:spacing w:before="0" w:beforeAutospacing="0" w:after="0" w:afterAutospacing="0" w:line="240" w:lineRule="auto"/>
              <w:ind w:left="0" w:right="0"/>
              <w:jc w:val="left"/>
              <w:rPr>
                <w:rFonts w:hint="eastAsia" w:eastAsia="Times New Roman" w:cs="Times New Roman"/>
                <w:sz w:val="20"/>
                <w:szCs w:val="20"/>
              </w:rPr>
            </w:pPr>
            <w:r>
              <w:rPr>
                <w:rFonts w:hint="eastAsia" w:eastAsia="Times New Roman" w:cs="Times New Roman"/>
                <w:sz w:val="20"/>
                <w:szCs w:val="20"/>
              </w:rPr>
              <w:t>External Factors</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sz w:val="20"/>
                <w:szCs w:val="20"/>
              </w:rPr>
            </w:pPr>
            <w:r>
              <w:rPr>
                <w:rFonts w:hint="eastAsia" w:eastAsia="Times New Roman" w:cs="Times New Roman"/>
                <w:sz w:val="20"/>
                <w:szCs w:val="20"/>
              </w:rPr>
              <w:t>0.63</w:t>
            </w:r>
          </w:p>
        </w:tc>
        <w:tc>
          <w:tcPr>
            <w:tcW w:w="2012" w:type="dxa"/>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sz w:val="20"/>
                <w:szCs w:val="20"/>
              </w:rPr>
            </w:pPr>
            <w:r>
              <w:rPr>
                <w:rFonts w:hint="eastAsia" w:eastAsia="Times New Roman" w:cs="Times New Roman"/>
                <w:sz w:val="20"/>
                <w:szCs w:val="20"/>
              </w:rPr>
              <w:t>1.89</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230" w:type="dxa"/>
          </w:tcPr>
          <w:p>
            <w:pPr>
              <w:keepNext w:val="0"/>
              <w:keepLines w:val="0"/>
              <w:widowControl/>
              <w:suppressLineNumbers w:val="0"/>
              <w:spacing w:before="0" w:beforeAutospacing="0" w:after="0" w:afterAutospacing="0" w:line="240" w:lineRule="auto"/>
              <w:ind w:left="0" w:right="0"/>
              <w:jc w:val="left"/>
              <w:rPr>
                <w:rFonts w:hint="eastAsia" w:eastAsia="Times New Roman" w:cs="Times New Roman"/>
                <w:sz w:val="20"/>
                <w:szCs w:val="20"/>
              </w:rPr>
            </w:pPr>
            <w:r>
              <w:rPr>
                <w:rFonts w:hint="eastAsia" w:eastAsia="Times New Roman" w:cs="Times New Roman"/>
                <w:sz w:val="20"/>
                <w:szCs w:val="20"/>
              </w:rPr>
              <w:t>Technical Challenges</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sz w:val="20"/>
                <w:szCs w:val="20"/>
              </w:rPr>
            </w:pPr>
            <w:r>
              <w:rPr>
                <w:rFonts w:hint="eastAsia" w:eastAsia="Times New Roman" w:cs="Times New Roman"/>
                <w:sz w:val="20"/>
                <w:szCs w:val="20"/>
              </w:rPr>
              <w:t>0.52</w:t>
            </w:r>
          </w:p>
        </w:tc>
        <w:tc>
          <w:tcPr>
            <w:tcW w:w="2012" w:type="dxa"/>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sz w:val="20"/>
                <w:szCs w:val="20"/>
              </w:rPr>
            </w:pPr>
            <w:r>
              <w:rPr>
                <w:rFonts w:hint="eastAsia" w:eastAsia="Times New Roman" w:cs="Times New Roman"/>
                <w:sz w:val="20"/>
                <w:szCs w:val="20"/>
              </w:rPr>
              <w:t>1.90</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230" w:type="dxa"/>
          </w:tcPr>
          <w:p>
            <w:pPr>
              <w:keepNext w:val="0"/>
              <w:keepLines w:val="0"/>
              <w:widowControl/>
              <w:suppressLineNumbers w:val="0"/>
              <w:spacing w:before="0" w:beforeAutospacing="0" w:after="0" w:afterAutospacing="0" w:line="240" w:lineRule="auto"/>
              <w:ind w:left="0" w:right="0"/>
              <w:jc w:val="left"/>
              <w:rPr>
                <w:rFonts w:hint="eastAsia" w:eastAsia="Times New Roman" w:cs="Times New Roman"/>
                <w:sz w:val="20"/>
                <w:szCs w:val="20"/>
              </w:rPr>
            </w:pPr>
            <w:r>
              <w:rPr>
                <w:rFonts w:hint="eastAsia" w:eastAsia="Times New Roman" w:cs="Times New Roman"/>
                <w:sz w:val="20"/>
                <w:szCs w:val="20"/>
              </w:rPr>
              <w:t>Delay in Project Completion</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sz w:val="20"/>
                <w:szCs w:val="20"/>
              </w:rPr>
            </w:pPr>
            <w:r>
              <w:rPr>
                <w:rFonts w:hint="eastAsia" w:eastAsia="Times New Roman" w:cs="Times New Roman"/>
                <w:sz w:val="20"/>
                <w:szCs w:val="20"/>
              </w:rPr>
              <w:t>0.52</w:t>
            </w:r>
          </w:p>
        </w:tc>
        <w:tc>
          <w:tcPr>
            <w:tcW w:w="2012" w:type="dxa"/>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sz w:val="20"/>
                <w:szCs w:val="20"/>
              </w:rPr>
            </w:pPr>
            <w:r>
              <w:rPr>
                <w:rFonts w:hint="eastAsia" w:eastAsia="Times New Roman" w:cs="Times New Roman"/>
                <w:sz w:val="20"/>
                <w:szCs w:val="20"/>
              </w:rPr>
              <w:t>1.92</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230" w:type="dxa"/>
          </w:tcPr>
          <w:p>
            <w:pPr>
              <w:keepNext w:val="0"/>
              <w:keepLines w:val="0"/>
              <w:widowControl/>
              <w:suppressLineNumbers w:val="0"/>
              <w:spacing w:before="0" w:beforeAutospacing="0" w:after="0" w:afterAutospacing="0" w:line="240" w:lineRule="auto"/>
              <w:ind w:left="0" w:right="0"/>
              <w:jc w:val="left"/>
              <w:rPr>
                <w:rFonts w:hint="eastAsia" w:eastAsia="Times New Roman" w:cs="Times New Roman"/>
                <w:sz w:val="20"/>
                <w:szCs w:val="20"/>
              </w:rPr>
            </w:pPr>
            <w:r>
              <w:rPr>
                <w:rFonts w:hint="eastAsia" w:eastAsia="Times New Roman" w:cs="Times New Roman"/>
                <w:sz w:val="20"/>
                <w:szCs w:val="20"/>
              </w:rPr>
              <w:t>Competent Manpower Compliance</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sz w:val="20"/>
                <w:szCs w:val="20"/>
              </w:rPr>
            </w:pPr>
            <w:r>
              <w:rPr>
                <w:rFonts w:hint="eastAsia" w:eastAsia="Times New Roman" w:cs="Times New Roman"/>
                <w:sz w:val="20"/>
                <w:szCs w:val="20"/>
              </w:rPr>
              <w:t>0.48</w:t>
            </w:r>
          </w:p>
        </w:tc>
        <w:tc>
          <w:tcPr>
            <w:tcW w:w="2012" w:type="dxa"/>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sz w:val="20"/>
                <w:szCs w:val="20"/>
              </w:rPr>
            </w:pPr>
            <w:r>
              <w:rPr>
                <w:rFonts w:hint="eastAsia" w:eastAsia="Times New Roman" w:cs="Times New Roman"/>
                <w:sz w:val="20"/>
                <w:szCs w:val="20"/>
              </w:rPr>
              <w:t>2.08</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4230" w:type="dxa"/>
          </w:tcPr>
          <w:p>
            <w:pPr>
              <w:keepNext w:val="0"/>
              <w:keepLines w:val="0"/>
              <w:widowControl/>
              <w:suppressLineNumbers w:val="0"/>
              <w:spacing w:before="0" w:beforeAutospacing="0" w:after="0" w:afterAutospacing="0" w:line="240" w:lineRule="auto"/>
              <w:ind w:left="0" w:right="0"/>
              <w:jc w:val="left"/>
              <w:rPr>
                <w:rFonts w:hint="eastAsia" w:eastAsia="Times New Roman" w:cs="Times New Roman"/>
                <w:sz w:val="20"/>
                <w:szCs w:val="20"/>
              </w:rPr>
            </w:pPr>
            <w:r>
              <w:rPr>
                <w:rFonts w:hint="eastAsia" w:eastAsia="Times New Roman" w:cs="Times New Roman"/>
                <w:sz w:val="20"/>
                <w:szCs w:val="20"/>
              </w:rPr>
              <w:t>Budgetary Compliance</w:t>
            </w:r>
          </w:p>
        </w:tc>
        <w:tc>
          <w:tcPr>
            <w:tcW w:w="1980" w:type="dxa"/>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sz w:val="20"/>
                <w:szCs w:val="20"/>
              </w:rPr>
            </w:pPr>
            <w:r>
              <w:rPr>
                <w:rFonts w:hint="eastAsia" w:eastAsia="Times New Roman" w:cs="Times New Roman"/>
                <w:sz w:val="20"/>
                <w:szCs w:val="20"/>
              </w:rPr>
              <w:t>0.74</w:t>
            </w:r>
          </w:p>
        </w:tc>
        <w:tc>
          <w:tcPr>
            <w:tcW w:w="2012" w:type="dxa"/>
          </w:tcPr>
          <w:p>
            <w:pPr>
              <w:keepNext w:val="0"/>
              <w:keepLines w:val="0"/>
              <w:widowControl/>
              <w:suppressLineNumbers w:val="0"/>
              <w:spacing w:before="0" w:beforeAutospacing="0" w:after="0" w:afterAutospacing="0" w:line="240" w:lineRule="auto"/>
              <w:ind w:left="0" w:right="0"/>
              <w:jc w:val="center"/>
              <w:rPr>
                <w:rFonts w:hint="eastAsia" w:eastAsia="Times New Roman" w:cs="Times New Roman"/>
                <w:sz w:val="20"/>
                <w:szCs w:val="20"/>
              </w:rPr>
            </w:pPr>
            <w:r>
              <w:rPr>
                <w:rFonts w:hint="eastAsia" w:eastAsia="Times New Roman" w:cs="Times New Roman"/>
                <w:sz w:val="20"/>
                <w:szCs w:val="20"/>
              </w:rPr>
              <w:t>1.35</w:t>
            </w:r>
          </w:p>
        </w:tc>
      </w:tr>
    </w:tbl>
    <w:p>
      <w:bookmarkStart w:id="156" w:name="_Toc13584"/>
      <w:bookmarkStart w:id="157" w:name="_Toc181542559"/>
      <w:bookmarkStart w:id="158" w:name="_Toc181564474"/>
      <w:r>
        <w:t>Source: research data,(2024)</w:t>
      </w:r>
    </w:p>
    <w:p>
      <w:pPr>
        <w:pStyle w:val="4"/>
        <w:rPr>
          <w:rFonts w:eastAsia="Times New Roman"/>
        </w:rPr>
      </w:pPr>
      <w:r>
        <w:rPr>
          <w:rFonts w:eastAsia="Times New Roman"/>
        </w:rPr>
        <w:t>4.5.4 Outliers</w:t>
      </w:r>
      <w:bookmarkEnd w:id="156"/>
      <w:bookmarkEnd w:id="157"/>
      <w:bookmarkEnd w:id="158"/>
    </w:p>
    <w:p>
      <w:pPr>
        <w:spacing w:before="0" w:after="0"/>
        <w:rPr>
          <w:rFonts w:eastAsia="SimSun" w:cs="Times New Roman"/>
        </w:rPr>
      </w:pPr>
      <w:r>
        <w:rPr>
          <w:rFonts w:eastAsia="SimSun" w:cs="Times New Roman"/>
        </w:rPr>
        <w:t>Outliers were examined to ensure they did not unduly influence the regression model. Leverage and Cook’s Distance Analysis and Mahalanobis Distance were utilized</w:t>
      </w:r>
    </w:p>
    <w:p>
      <w:pPr>
        <w:spacing w:before="100" w:beforeAutospacing="1" w:after="200"/>
        <w:rPr>
          <w:rFonts w:eastAsia="SimSun" w:cs="Times New Roman"/>
        </w:rPr>
      </w:pPr>
      <w:r>
        <w:rPr>
          <w:rFonts w:eastAsia="SimSun" w:cs="Times New Roman"/>
        </w:rPr>
        <w:t>Leverage values were calculated for each observation to identify any points that might have undue influence on the regression model. In this study, none of the cases exceeded the threshold value of 0.2, indicating that no individual observation was disproportionately influential regarding the model's estimates.</w:t>
      </w:r>
    </w:p>
    <w:p>
      <w:pPr>
        <w:spacing w:before="100" w:beforeAutospacing="1" w:after="200"/>
        <w:rPr>
          <w:rFonts w:eastAsia="SimSun" w:cs="Times New Roman"/>
        </w:rPr>
      </w:pPr>
      <w:r>
        <w:rPr>
          <w:rFonts w:eastAsia="SimSun" w:cs="Times New Roman"/>
        </w:rPr>
        <w:t>Additionally, Cook’s Distance was evaluated, with all values falling below the critical threshold of 0.5. Cook’s Distance measures the effect of deleting a given observation on the fitted values of the model. The results suggest that no single data point exerted undue influence on the regression model. The absence of high-leverage points and extreme Cook’s Distance values implies that the model's coefficients are stable and not distorted by any single observation.</w:t>
      </w:r>
    </w:p>
    <w:p>
      <w:pPr>
        <w:spacing w:before="100" w:beforeAutospacing="1" w:after="200"/>
        <w:rPr>
          <w:rFonts w:eastAsia="SimSun" w:cs="Times New Roman"/>
        </w:rPr>
      </w:pPr>
      <w:r>
        <w:rPr>
          <w:rFonts w:eastAsia="SimSun" w:cs="Times New Roman"/>
        </w:rPr>
        <w:t>Furthermore, Mahalanobis Distance was computed to assess multivariate outliers. No distances exceeded the critical value for the dataset at a significance level of 0.001, reinforcing the conclusion that there are no significant multivariate outliers. This finding supports the reliability of the regression analysis, as multivariate outliers can lead to misleading results if not addressed appropriately.</w:t>
      </w:r>
    </w:p>
    <w:p>
      <w:pPr>
        <w:keepNext/>
        <w:spacing w:before="100" w:beforeAutospacing="1" w:after="200"/>
        <w:rPr>
          <w:rFonts w:eastAsia="SimHei" w:cs="Times New Roman"/>
          <w:b/>
          <w:bCs/>
          <w:i/>
          <w:iCs/>
          <w:szCs w:val="24"/>
        </w:rPr>
      </w:pPr>
      <w:bookmarkStart w:id="159" w:name="_Toc182070301"/>
      <w:bookmarkStart w:id="160" w:name="_Toc181564375"/>
      <w:bookmarkStart w:id="161" w:name="_Toc181543348"/>
      <w:r>
        <w:rPr>
          <w:rFonts w:eastAsia="SimHei" w:cs="Times New Roman"/>
          <w:b/>
          <w:bCs/>
          <w:i/>
          <w:iCs/>
          <w:szCs w:val="24"/>
        </w:rPr>
        <w:t>Table 4.</w:t>
      </w:r>
      <w:r>
        <w:rPr>
          <w:rFonts w:eastAsia="SimHei" w:cs="Times New Roman"/>
          <w:b/>
          <w:bCs/>
          <w:i/>
          <w:iCs/>
          <w:szCs w:val="24"/>
        </w:rPr>
        <w:fldChar w:fldCharType="begin"/>
      </w:r>
      <w:r>
        <w:rPr>
          <w:rFonts w:eastAsia="SimHei" w:cs="Times New Roman"/>
          <w:b/>
          <w:bCs/>
          <w:i/>
          <w:iCs/>
          <w:szCs w:val="24"/>
        </w:rPr>
        <w:instrText xml:space="preserve"> SEQ Table \* ARABIC </w:instrText>
      </w:r>
      <w:r>
        <w:rPr>
          <w:rFonts w:eastAsia="SimHei" w:cs="Times New Roman"/>
          <w:b/>
          <w:bCs/>
          <w:i/>
          <w:iCs/>
          <w:szCs w:val="24"/>
        </w:rPr>
        <w:fldChar w:fldCharType="separate"/>
      </w:r>
      <w:r>
        <w:rPr>
          <w:rFonts w:eastAsia="SimHei" w:cs="Times New Roman"/>
          <w:b/>
          <w:bCs/>
          <w:i/>
          <w:iCs/>
          <w:szCs w:val="24"/>
        </w:rPr>
        <w:t>13</w:t>
      </w:r>
      <w:r>
        <w:rPr>
          <w:rFonts w:eastAsia="SimHei" w:cs="Times New Roman"/>
          <w:b/>
          <w:bCs/>
          <w:i/>
          <w:iCs/>
          <w:szCs w:val="24"/>
        </w:rPr>
        <w:fldChar w:fldCharType="end"/>
      </w:r>
      <w:r>
        <w:rPr>
          <w:rFonts w:eastAsia="SimHei" w:cs="Times New Roman"/>
          <w:b/>
          <w:bCs/>
          <w:i/>
          <w:iCs/>
          <w:szCs w:val="24"/>
        </w:rPr>
        <w:t>: Outlier Analysis Results</w:t>
      </w:r>
      <w:bookmarkEnd w:id="159"/>
      <w:bookmarkEnd w:id="160"/>
      <w:bookmarkEnd w:id="161"/>
    </w:p>
    <w:tbl>
      <w:tblPr>
        <w:tblStyle w:val="44"/>
        <w:tblW w:w="0" w:type="auto"/>
        <w:tblInd w:w="0" w:type="dxa"/>
        <w:tblBorders>
          <w:top w:val="single" w:color="auto" w:sz="4" w:space="0"/>
          <w:left w:val="none" w:color="auto" w:sz="0" w:space="0"/>
          <w:bottom w:val="single" w:color="auto" w:sz="4"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111"/>
        <w:gridCol w:w="1820"/>
        <w:gridCol w:w="1980"/>
        <w:gridCol w:w="2790"/>
      </w:tblGrid>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bottom w:val="single" w:color="auto" w:sz="4" w:space="0"/>
            </w:tcBorders>
            <w:shd w:val="clear" w:color="auto" w:fill="DBE5F1"/>
          </w:tcPr>
          <w:p>
            <w:pPr>
              <w:keepNext w:val="0"/>
              <w:keepLines w:val="0"/>
              <w:widowControl/>
              <w:suppressLineNumbers w:val="0"/>
              <w:spacing w:before="0" w:beforeAutospacing="0" w:after="0" w:afterAutospacing="0" w:line="240" w:lineRule="auto"/>
              <w:ind w:left="0" w:right="0"/>
              <w:rPr>
                <w:rFonts w:hint="eastAsia" w:eastAsia="SimSun" w:cs="Times New Roman"/>
                <w:b w:val="0"/>
                <w:bCs w:val="0"/>
                <w:sz w:val="20"/>
                <w:szCs w:val="20"/>
              </w:rPr>
            </w:pPr>
            <w:r>
              <w:rPr>
                <w:rFonts w:hint="eastAsia" w:eastAsia="SimSun" w:cs="Times New Roman"/>
                <w:b/>
                <w:bCs/>
                <w:sz w:val="20"/>
                <w:szCs w:val="20"/>
              </w:rPr>
              <w:t>Analysis Type</w:t>
            </w:r>
          </w:p>
        </w:tc>
        <w:tc>
          <w:tcPr>
            <w:tcW w:w="1820" w:type="dxa"/>
            <w:tcBorders>
              <w:top w:val="single" w:color="auto" w:sz="4" w:space="0"/>
              <w:bottom w:val="single" w:color="auto" w:sz="4" w:space="0"/>
            </w:tcBorders>
            <w:shd w:val="clear" w:color="auto" w:fill="DBE5F1"/>
          </w:tcPr>
          <w:p>
            <w:pPr>
              <w:keepNext w:val="0"/>
              <w:keepLines w:val="0"/>
              <w:widowControl/>
              <w:suppressLineNumbers w:val="0"/>
              <w:spacing w:before="0" w:beforeAutospacing="0" w:after="0" w:afterAutospacing="0" w:line="240" w:lineRule="auto"/>
              <w:ind w:left="0" w:right="0"/>
              <w:rPr>
                <w:rFonts w:hint="eastAsia" w:eastAsia="SimSun" w:cs="Times New Roman"/>
                <w:b w:val="0"/>
                <w:bCs w:val="0"/>
                <w:sz w:val="20"/>
                <w:szCs w:val="20"/>
              </w:rPr>
            </w:pPr>
            <w:r>
              <w:rPr>
                <w:rFonts w:hint="eastAsia" w:eastAsia="SimSun" w:cs="Times New Roman"/>
                <w:b/>
                <w:bCs/>
                <w:sz w:val="20"/>
                <w:szCs w:val="20"/>
              </w:rPr>
              <w:t>Threshold Value</w:t>
            </w:r>
          </w:p>
        </w:tc>
        <w:tc>
          <w:tcPr>
            <w:tcW w:w="1980" w:type="dxa"/>
            <w:tcBorders>
              <w:top w:val="single" w:color="auto" w:sz="4" w:space="0"/>
              <w:bottom w:val="single" w:color="auto" w:sz="4" w:space="0"/>
            </w:tcBorders>
            <w:shd w:val="clear" w:color="auto" w:fill="DBE5F1"/>
          </w:tcPr>
          <w:p>
            <w:pPr>
              <w:keepNext w:val="0"/>
              <w:keepLines w:val="0"/>
              <w:widowControl/>
              <w:suppressLineNumbers w:val="0"/>
              <w:spacing w:before="0" w:beforeAutospacing="0" w:after="0" w:afterAutospacing="0" w:line="240" w:lineRule="auto"/>
              <w:ind w:left="0" w:right="0"/>
              <w:rPr>
                <w:rFonts w:hint="eastAsia" w:eastAsia="SimSun" w:cs="Times New Roman"/>
                <w:b w:val="0"/>
                <w:bCs w:val="0"/>
                <w:sz w:val="20"/>
                <w:szCs w:val="20"/>
              </w:rPr>
            </w:pPr>
            <w:r>
              <w:rPr>
                <w:rFonts w:hint="eastAsia" w:eastAsia="SimSun" w:cs="Times New Roman"/>
                <w:b/>
                <w:bCs/>
                <w:sz w:val="20"/>
                <w:szCs w:val="20"/>
              </w:rPr>
              <w:t>Maximum Value Observed</w:t>
            </w:r>
          </w:p>
        </w:tc>
        <w:tc>
          <w:tcPr>
            <w:tcW w:w="2790" w:type="dxa"/>
            <w:tcBorders>
              <w:top w:val="single" w:color="auto" w:sz="4" w:space="0"/>
              <w:bottom w:val="single" w:color="auto" w:sz="4" w:space="0"/>
            </w:tcBorders>
            <w:shd w:val="clear" w:color="auto" w:fill="DBE5F1"/>
          </w:tcPr>
          <w:p>
            <w:pPr>
              <w:keepNext w:val="0"/>
              <w:keepLines w:val="0"/>
              <w:widowControl/>
              <w:suppressLineNumbers w:val="0"/>
              <w:spacing w:before="0" w:beforeAutospacing="0" w:after="0" w:afterAutospacing="0" w:line="240" w:lineRule="auto"/>
              <w:ind w:left="0" w:right="0"/>
              <w:rPr>
                <w:rFonts w:hint="eastAsia" w:eastAsia="SimSun" w:cs="Times New Roman"/>
                <w:b w:val="0"/>
                <w:bCs w:val="0"/>
                <w:sz w:val="20"/>
                <w:szCs w:val="20"/>
              </w:rPr>
            </w:pPr>
            <w:r>
              <w:rPr>
                <w:rFonts w:hint="eastAsia" w:eastAsia="SimSun" w:cs="Times New Roman"/>
                <w:b/>
                <w:bCs/>
                <w:sz w:val="20"/>
                <w:szCs w:val="20"/>
              </w:rPr>
              <w:t>Conclusion</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tcBorders>
          </w:tcPr>
          <w:p>
            <w:pPr>
              <w:keepNext w:val="0"/>
              <w:keepLines w:val="0"/>
              <w:widowControl/>
              <w:suppressLineNumbers w:val="0"/>
              <w:spacing w:before="0" w:beforeAutospacing="0" w:after="0" w:afterAutospacing="0" w:line="240" w:lineRule="auto"/>
              <w:ind w:left="0" w:right="0"/>
              <w:rPr>
                <w:rFonts w:hint="eastAsia" w:eastAsia="SimSun" w:cs="Times New Roman"/>
                <w:b w:val="0"/>
                <w:bCs w:val="0"/>
                <w:sz w:val="20"/>
                <w:szCs w:val="20"/>
              </w:rPr>
            </w:pPr>
            <w:r>
              <w:rPr>
                <w:rFonts w:hint="eastAsia" w:eastAsia="SimSun" w:cs="Times New Roman"/>
                <w:b/>
                <w:bCs/>
                <w:sz w:val="20"/>
                <w:szCs w:val="20"/>
              </w:rPr>
              <w:t>Leverage</w:t>
            </w:r>
          </w:p>
        </w:tc>
        <w:tc>
          <w:tcPr>
            <w:tcW w:w="1820" w:type="dxa"/>
            <w:tcBorders>
              <w:top w:val="single" w:color="auto" w:sz="4" w:space="0"/>
            </w:tcBorders>
          </w:tcPr>
          <w:p>
            <w:pPr>
              <w:keepNext w:val="0"/>
              <w:keepLines w:val="0"/>
              <w:widowControl/>
              <w:suppressLineNumbers w:val="0"/>
              <w:spacing w:before="0" w:beforeAutospacing="0" w:after="0" w:afterAutospacing="0" w:line="240" w:lineRule="auto"/>
              <w:ind w:left="0" w:right="0"/>
              <w:rPr>
                <w:rFonts w:hint="eastAsia" w:eastAsia="SimSun" w:cs="Times New Roman"/>
                <w:sz w:val="20"/>
                <w:szCs w:val="20"/>
              </w:rPr>
            </w:pPr>
            <w:r>
              <w:rPr>
                <w:rFonts w:hint="eastAsia" w:eastAsia="SimSun" w:cs="Times New Roman"/>
                <w:sz w:val="20"/>
                <w:szCs w:val="20"/>
              </w:rPr>
              <w:t>0.2</w:t>
            </w:r>
          </w:p>
        </w:tc>
        <w:tc>
          <w:tcPr>
            <w:tcW w:w="1980" w:type="dxa"/>
            <w:tcBorders>
              <w:top w:val="single" w:color="auto" w:sz="4" w:space="0"/>
            </w:tcBorders>
          </w:tcPr>
          <w:p>
            <w:pPr>
              <w:keepNext w:val="0"/>
              <w:keepLines w:val="0"/>
              <w:widowControl/>
              <w:suppressLineNumbers w:val="0"/>
              <w:spacing w:before="0" w:beforeAutospacing="0" w:after="0" w:afterAutospacing="0" w:line="240" w:lineRule="auto"/>
              <w:ind w:left="0" w:right="0"/>
              <w:rPr>
                <w:rFonts w:hint="eastAsia" w:eastAsia="SimSun" w:cs="Times New Roman"/>
                <w:sz w:val="20"/>
                <w:szCs w:val="20"/>
              </w:rPr>
            </w:pPr>
            <w:r>
              <w:rPr>
                <w:rFonts w:hint="eastAsia" w:eastAsia="SimSun" w:cs="Times New Roman"/>
                <w:sz w:val="20"/>
                <w:szCs w:val="20"/>
              </w:rPr>
              <w:t>0.15</w:t>
            </w:r>
          </w:p>
        </w:tc>
        <w:tc>
          <w:tcPr>
            <w:tcW w:w="2790" w:type="dxa"/>
            <w:tcBorders>
              <w:top w:val="single" w:color="auto" w:sz="4" w:space="0"/>
            </w:tcBorders>
          </w:tcPr>
          <w:p>
            <w:pPr>
              <w:keepNext w:val="0"/>
              <w:keepLines w:val="0"/>
              <w:widowControl/>
              <w:suppressLineNumbers w:val="0"/>
              <w:spacing w:before="0" w:beforeAutospacing="0" w:after="0" w:afterAutospacing="0" w:line="240" w:lineRule="auto"/>
              <w:ind w:left="0" w:right="0"/>
              <w:rPr>
                <w:rFonts w:hint="eastAsia" w:eastAsia="SimSun" w:cs="Times New Roman"/>
                <w:sz w:val="20"/>
                <w:szCs w:val="20"/>
              </w:rPr>
            </w:pPr>
            <w:r>
              <w:rPr>
                <w:rFonts w:hint="eastAsia" w:eastAsia="SimSun" w:cs="Times New Roman"/>
                <w:sz w:val="20"/>
                <w:szCs w:val="20"/>
              </w:rPr>
              <w:t>No influential leverage points detected</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0" w:type="auto"/>
          </w:tcPr>
          <w:p>
            <w:pPr>
              <w:keepNext w:val="0"/>
              <w:keepLines w:val="0"/>
              <w:widowControl/>
              <w:suppressLineNumbers w:val="0"/>
              <w:spacing w:before="0" w:beforeAutospacing="0" w:after="0" w:afterAutospacing="0" w:line="240" w:lineRule="auto"/>
              <w:ind w:left="0" w:right="0"/>
              <w:rPr>
                <w:rFonts w:hint="eastAsia" w:eastAsia="SimSun" w:cs="Times New Roman"/>
                <w:b w:val="0"/>
                <w:bCs w:val="0"/>
                <w:sz w:val="20"/>
                <w:szCs w:val="20"/>
              </w:rPr>
            </w:pPr>
            <w:r>
              <w:rPr>
                <w:rFonts w:hint="eastAsia" w:eastAsia="SimSun" w:cs="Times New Roman"/>
                <w:b/>
                <w:bCs/>
                <w:sz w:val="20"/>
                <w:szCs w:val="20"/>
              </w:rPr>
              <w:t>Cook’s Distance</w:t>
            </w:r>
          </w:p>
        </w:tc>
        <w:tc>
          <w:tcPr>
            <w:tcW w:w="1820" w:type="dxa"/>
          </w:tcPr>
          <w:p>
            <w:pPr>
              <w:keepNext w:val="0"/>
              <w:keepLines w:val="0"/>
              <w:widowControl/>
              <w:suppressLineNumbers w:val="0"/>
              <w:spacing w:before="0" w:beforeAutospacing="0" w:after="0" w:afterAutospacing="0" w:line="240" w:lineRule="auto"/>
              <w:ind w:left="0" w:right="0"/>
              <w:rPr>
                <w:rFonts w:hint="eastAsia" w:eastAsia="SimSun" w:cs="Times New Roman"/>
                <w:sz w:val="20"/>
                <w:szCs w:val="20"/>
              </w:rPr>
            </w:pPr>
            <w:r>
              <w:rPr>
                <w:rFonts w:hint="eastAsia" w:eastAsia="SimSun" w:cs="Times New Roman"/>
                <w:sz w:val="20"/>
                <w:szCs w:val="20"/>
              </w:rPr>
              <w:t>0.5</w:t>
            </w:r>
          </w:p>
        </w:tc>
        <w:tc>
          <w:tcPr>
            <w:tcW w:w="1980" w:type="dxa"/>
          </w:tcPr>
          <w:p>
            <w:pPr>
              <w:keepNext w:val="0"/>
              <w:keepLines w:val="0"/>
              <w:widowControl/>
              <w:suppressLineNumbers w:val="0"/>
              <w:spacing w:before="0" w:beforeAutospacing="0" w:after="0" w:afterAutospacing="0" w:line="240" w:lineRule="auto"/>
              <w:ind w:left="0" w:right="0"/>
              <w:rPr>
                <w:rFonts w:hint="eastAsia" w:eastAsia="SimSun" w:cs="Times New Roman"/>
                <w:sz w:val="20"/>
                <w:szCs w:val="20"/>
              </w:rPr>
            </w:pPr>
            <w:r>
              <w:rPr>
                <w:rFonts w:hint="eastAsia" w:eastAsia="SimSun" w:cs="Times New Roman"/>
                <w:sz w:val="20"/>
                <w:szCs w:val="20"/>
              </w:rPr>
              <w:t>0.32</w:t>
            </w:r>
          </w:p>
        </w:tc>
        <w:tc>
          <w:tcPr>
            <w:tcW w:w="2790" w:type="dxa"/>
          </w:tcPr>
          <w:p>
            <w:pPr>
              <w:keepNext w:val="0"/>
              <w:keepLines w:val="0"/>
              <w:widowControl/>
              <w:suppressLineNumbers w:val="0"/>
              <w:spacing w:before="0" w:beforeAutospacing="0" w:after="0" w:afterAutospacing="0" w:line="240" w:lineRule="auto"/>
              <w:ind w:left="0" w:right="0"/>
              <w:rPr>
                <w:rFonts w:hint="eastAsia" w:eastAsia="SimSun" w:cs="Times New Roman"/>
                <w:sz w:val="20"/>
                <w:szCs w:val="20"/>
              </w:rPr>
            </w:pPr>
            <w:r>
              <w:rPr>
                <w:rFonts w:hint="eastAsia" w:eastAsia="SimSun" w:cs="Times New Roman"/>
                <w:sz w:val="20"/>
                <w:szCs w:val="20"/>
              </w:rPr>
              <w:t>No observations exerting undue influence</w:t>
            </w:r>
          </w:p>
        </w:tc>
      </w:tr>
      <w:tr>
        <w:tblPrEx>
          <w:tblBorders>
            <w:top w:val="single" w:color="auto" w:sz="4" w:space="0"/>
            <w:left w:val="none" w:color="auto" w:sz="0" w:space="0"/>
            <w:bottom w:val="single" w:color="auto" w:sz="4" w:space="0"/>
            <w:right w:val="none" w:color="auto" w:sz="0" w:space="0"/>
            <w:insideH w:val="none" w:color="auto" w:sz="0" w:space="0"/>
            <w:insideV w:val="none" w:color="auto" w:sz="0" w:space="0"/>
          </w:tblBorders>
          <w:tblCellMar>
            <w:top w:w="0" w:type="dxa"/>
            <w:left w:w="108" w:type="dxa"/>
            <w:bottom w:w="0" w:type="dxa"/>
            <w:right w:w="108" w:type="dxa"/>
          </w:tblCellMar>
        </w:tblPrEx>
        <w:tc>
          <w:tcPr>
            <w:tcW w:w="0" w:type="auto"/>
          </w:tcPr>
          <w:p>
            <w:pPr>
              <w:keepNext w:val="0"/>
              <w:keepLines w:val="0"/>
              <w:widowControl/>
              <w:suppressLineNumbers w:val="0"/>
              <w:spacing w:before="0" w:beforeAutospacing="0" w:after="0" w:afterAutospacing="0" w:line="240" w:lineRule="auto"/>
              <w:ind w:left="0" w:right="0"/>
              <w:rPr>
                <w:rFonts w:hint="eastAsia" w:eastAsia="SimSun" w:cs="Times New Roman"/>
                <w:b w:val="0"/>
                <w:bCs w:val="0"/>
                <w:sz w:val="20"/>
                <w:szCs w:val="20"/>
              </w:rPr>
            </w:pPr>
            <w:r>
              <w:rPr>
                <w:rFonts w:hint="eastAsia" w:eastAsia="SimSun" w:cs="Times New Roman"/>
                <w:b/>
                <w:bCs/>
                <w:sz w:val="20"/>
                <w:szCs w:val="20"/>
              </w:rPr>
              <w:t>Mahalanobis Distance</w:t>
            </w:r>
          </w:p>
        </w:tc>
        <w:tc>
          <w:tcPr>
            <w:tcW w:w="1820" w:type="dxa"/>
          </w:tcPr>
          <w:p>
            <w:pPr>
              <w:keepNext w:val="0"/>
              <w:keepLines w:val="0"/>
              <w:widowControl/>
              <w:suppressLineNumbers w:val="0"/>
              <w:spacing w:before="0" w:beforeAutospacing="0" w:after="0" w:afterAutospacing="0" w:line="240" w:lineRule="auto"/>
              <w:ind w:left="0" w:right="0"/>
              <w:rPr>
                <w:rFonts w:hint="eastAsia" w:eastAsia="SimSun" w:cs="Times New Roman"/>
                <w:sz w:val="20"/>
                <w:szCs w:val="20"/>
              </w:rPr>
            </w:pPr>
            <w:r>
              <w:rPr>
                <w:rFonts w:hint="eastAsia" w:eastAsia="SimSun" w:cs="Times New Roman"/>
                <w:sz w:val="20"/>
                <w:szCs w:val="20"/>
              </w:rPr>
              <w:t>Critical Value (p &lt; 0.001)</w:t>
            </w:r>
          </w:p>
        </w:tc>
        <w:tc>
          <w:tcPr>
            <w:tcW w:w="1980" w:type="dxa"/>
          </w:tcPr>
          <w:p>
            <w:pPr>
              <w:keepNext w:val="0"/>
              <w:keepLines w:val="0"/>
              <w:widowControl/>
              <w:suppressLineNumbers w:val="0"/>
              <w:spacing w:before="0" w:beforeAutospacing="0" w:after="0" w:afterAutospacing="0" w:line="240" w:lineRule="auto"/>
              <w:ind w:left="0" w:right="0"/>
              <w:rPr>
                <w:rFonts w:hint="eastAsia" w:eastAsia="SimSun" w:cs="Times New Roman"/>
                <w:sz w:val="20"/>
                <w:szCs w:val="20"/>
              </w:rPr>
            </w:pPr>
            <w:r>
              <w:rPr>
                <w:rFonts w:hint="eastAsia" w:eastAsia="SimSun" w:cs="Times New Roman"/>
                <w:sz w:val="20"/>
                <w:szCs w:val="20"/>
              </w:rPr>
              <w:t>2.85</w:t>
            </w:r>
          </w:p>
        </w:tc>
        <w:tc>
          <w:tcPr>
            <w:tcW w:w="2790" w:type="dxa"/>
          </w:tcPr>
          <w:p>
            <w:pPr>
              <w:keepNext w:val="0"/>
              <w:keepLines w:val="0"/>
              <w:widowControl/>
              <w:suppressLineNumbers w:val="0"/>
              <w:spacing w:before="0" w:beforeAutospacing="0" w:after="0" w:afterAutospacing="0" w:line="240" w:lineRule="auto"/>
              <w:ind w:left="0" w:right="0"/>
              <w:rPr>
                <w:rFonts w:hint="eastAsia" w:eastAsia="SimSun" w:cs="Times New Roman"/>
                <w:sz w:val="20"/>
                <w:szCs w:val="20"/>
              </w:rPr>
            </w:pPr>
            <w:r>
              <w:rPr>
                <w:rFonts w:hint="eastAsia" w:eastAsia="SimSun" w:cs="Times New Roman"/>
                <w:sz w:val="20"/>
                <w:szCs w:val="20"/>
              </w:rPr>
              <w:t>No significant multivariate outliers present</w:t>
            </w:r>
          </w:p>
        </w:tc>
      </w:tr>
    </w:tbl>
    <w:p>
      <w:r>
        <w:t>Source: research data,(2024)</w:t>
      </w:r>
    </w:p>
    <w:p>
      <w:pPr>
        <w:pStyle w:val="4"/>
      </w:pPr>
      <w:bookmarkStart w:id="162" w:name="_Toc19280"/>
      <w:r>
        <w:t>4.5.3 Multicollinearity Test</w:t>
      </w:r>
      <w:bookmarkEnd w:id="162"/>
    </w:p>
    <w:p>
      <w:r>
        <w:t>The multicollinearity of the independent variables was evaluated using the Variance Inflation Factor (VIF) and Tolerance values. The VIF values ranged from 1.22 to 2.10, all below the critical threshold of 5, indicating that multicollinearity is not a significant concern among the variables in this study. These low VIF scores suggest that each independent variable provides unique information to the regression model, enhancing both interpretability and precision in estimating coefficients. The absence of high multicollinearity minimizes the risk of inflated standard errors, which could obscure the individual effects of variables like perceptions of welfare benefits, service responsiveness, and staff competency (Hair et al., 2010). Thus, these findings reinforce the reliability of the regression analysis by confirming manageable correlations among variables that are unlikely to distort the results.</w:t>
      </w:r>
    </w:p>
    <w:p>
      <w:pPr>
        <w:pStyle w:val="12"/>
        <w:keepNext/>
        <w:rPr>
          <w:b/>
          <w:bCs/>
          <w:color w:val="auto"/>
          <w:sz w:val="24"/>
          <w:szCs w:val="24"/>
        </w:rPr>
      </w:pPr>
      <w:bookmarkStart w:id="163" w:name="_Toc182070302"/>
      <w:r>
        <w:rPr>
          <w:b/>
          <w:bCs/>
          <w:color w:val="auto"/>
          <w:sz w:val="24"/>
          <w:szCs w:val="24"/>
        </w:rPr>
        <w:t>Table 4.</w:t>
      </w:r>
      <w:r>
        <w:rPr>
          <w:b/>
          <w:bCs/>
          <w:color w:val="auto"/>
          <w:sz w:val="24"/>
          <w:szCs w:val="24"/>
        </w:rPr>
        <w:fldChar w:fldCharType="begin"/>
      </w:r>
      <w:r>
        <w:rPr>
          <w:b/>
          <w:bCs/>
          <w:color w:val="auto"/>
          <w:sz w:val="24"/>
          <w:szCs w:val="24"/>
        </w:rPr>
        <w:instrText xml:space="preserve"> SEQ Table \* ARABIC </w:instrText>
      </w:r>
      <w:r>
        <w:rPr>
          <w:b/>
          <w:bCs/>
          <w:color w:val="auto"/>
          <w:sz w:val="24"/>
          <w:szCs w:val="24"/>
        </w:rPr>
        <w:fldChar w:fldCharType="separate"/>
      </w:r>
      <w:r>
        <w:rPr>
          <w:b/>
          <w:bCs/>
          <w:color w:val="auto"/>
          <w:sz w:val="24"/>
          <w:szCs w:val="24"/>
        </w:rPr>
        <w:t>14</w:t>
      </w:r>
      <w:r>
        <w:rPr>
          <w:b/>
          <w:bCs/>
          <w:color w:val="auto"/>
          <w:sz w:val="24"/>
          <w:szCs w:val="24"/>
        </w:rPr>
        <w:fldChar w:fldCharType="end"/>
      </w:r>
      <w:r>
        <w:rPr>
          <w:b/>
          <w:bCs/>
          <w:color w:val="auto"/>
          <w:sz w:val="24"/>
          <w:szCs w:val="24"/>
        </w:rPr>
        <w:t>: Multicollinearity Results</w:t>
      </w:r>
      <w:bookmarkEnd w:id="163"/>
    </w:p>
    <w:tbl>
      <w:tblPr>
        <w:tblStyle w:val="21"/>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955"/>
        <w:gridCol w:w="1620"/>
        <w:gridCol w:w="29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955" w:type="dxa"/>
            <w:tcBorders>
              <w:top w:val="single" w:color="auto" w:sz="4" w:space="0"/>
              <w:bottom w:val="single" w:color="auto" w:sz="4" w:space="0"/>
            </w:tcBorders>
            <w:shd w:val="clear" w:color="auto" w:fill="D9E2F3"/>
          </w:tcPr>
          <w:p>
            <w:pPr>
              <w:keepNext w:val="0"/>
              <w:keepLines w:val="0"/>
              <w:widowControl/>
              <w:suppressLineNumbers w:val="0"/>
              <w:spacing w:before="0" w:beforeAutospacing="0" w:after="0" w:afterAutospacing="0" w:line="240" w:lineRule="auto"/>
              <w:ind w:left="0" w:right="0"/>
              <w:rPr>
                <w:rFonts w:hint="eastAsia"/>
                <w:b/>
                <w:bCs/>
                <w:sz w:val="20"/>
                <w:szCs w:val="20"/>
              </w:rPr>
            </w:pPr>
            <w:r>
              <w:rPr>
                <w:rFonts w:hint="eastAsia"/>
                <w:b/>
                <w:bCs/>
                <w:sz w:val="20"/>
                <w:szCs w:val="20"/>
              </w:rPr>
              <w:t>Independent Variable</w:t>
            </w:r>
          </w:p>
        </w:tc>
        <w:tc>
          <w:tcPr>
            <w:tcW w:w="1620" w:type="dxa"/>
            <w:tcBorders>
              <w:top w:val="single" w:color="auto" w:sz="4" w:space="0"/>
              <w:bottom w:val="single" w:color="auto" w:sz="4" w:space="0"/>
            </w:tcBorders>
            <w:shd w:val="clear" w:color="auto" w:fill="D9E2F3"/>
          </w:tcPr>
          <w:p>
            <w:pPr>
              <w:keepNext w:val="0"/>
              <w:keepLines w:val="0"/>
              <w:widowControl/>
              <w:suppressLineNumbers w:val="0"/>
              <w:spacing w:before="0" w:beforeAutospacing="0" w:after="0" w:afterAutospacing="0" w:line="240" w:lineRule="auto"/>
              <w:ind w:left="0" w:right="0"/>
              <w:rPr>
                <w:rFonts w:hint="eastAsia"/>
                <w:b/>
                <w:bCs/>
                <w:sz w:val="20"/>
                <w:szCs w:val="20"/>
              </w:rPr>
            </w:pPr>
            <w:r>
              <w:rPr>
                <w:rFonts w:hint="eastAsia"/>
                <w:b/>
                <w:bCs/>
                <w:sz w:val="20"/>
                <w:szCs w:val="20"/>
              </w:rPr>
              <w:t>Tolerance</w:t>
            </w:r>
          </w:p>
        </w:tc>
        <w:tc>
          <w:tcPr>
            <w:tcW w:w="2970" w:type="dxa"/>
            <w:tcBorders>
              <w:top w:val="single" w:color="auto" w:sz="4" w:space="0"/>
              <w:bottom w:val="single" w:color="auto" w:sz="4" w:space="0"/>
            </w:tcBorders>
            <w:shd w:val="clear" w:color="auto" w:fill="D9E2F3"/>
          </w:tcPr>
          <w:p>
            <w:pPr>
              <w:keepNext w:val="0"/>
              <w:keepLines w:val="0"/>
              <w:widowControl/>
              <w:suppressLineNumbers w:val="0"/>
              <w:spacing w:before="0" w:beforeAutospacing="0" w:after="0" w:afterAutospacing="0" w:line="240" w:lineRule="auto"/>
              <w:ind w:left="0" w:right="0"/>
              <w:rPr>
                <w:rFonts w:hint="eastAsia"/>
                <w:b/>
                <w:bCs/>
                <w:sz w:val="20"/>
                <w:szCs w:val="20"/>
              </w:rPr>
            </w:pPr>
            <w:r>
              <w:rPr>
                <w:rFonts w:hint="eastAsia"/>
                <w:b/>
                <w:bCs/>
                <w:sz w:val="20"/>
                <w:szCs w:val="20"/>
              </w:rPr>
              <w:t>VIF</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955" w:type="dxa"/>
            <w:tcBorders>
              <w:top w:val="single" w:color="auto" w:sz="4" w:space="0"/>
            </w:tcBorders>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Accessibility of Benefits</w:t>
            </w:r>
          </w:p>
        </w:tc>
        <w:tc>
          <w:tcPr>
            <w:tcW w:w="1620" w:type="dxa"/>
            <w:tcBorders>
              <w:top w:val="single" w:color="auto" w:sz="4" w:space="0"/>
            </w:tcBorders>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0.82</w:t>
            </w:r>
          </w:p>
        </w:tc>
        <w:tc>
          <w:tcPr>
            <w:tcW w:w="2970" w:type="dxa"/>
            <w:tcBorders>
              <w:top w:val="single" w:color="auto" w:sz="4" w:space="0"/>
            </w:tcBorders>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1.22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95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Adequacy of Benefits</w:t>
            </w:r>
          </w:p>
        </w:tc>
        <w:tc>
          <w:tcPr>
            <w:tcW w:w="162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0.73</w:t>
            </w:r>
          </w:p>
        </w:tc>
        <w:tc>
          <w:tcPr>
            <w:tcW w:w="297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1.37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95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Satisfaction with Benefits</w:t>
            </w:r>
          </w:p>
        </w:tc>
        <w:tc>
          <w:tcPr>
            <w:tcW w:w="162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0.68</w:t>
            </w:r>
          </w:p>
        </w:tc>
        <w:tc>
          <w:tcPr>
            <w:tcW w:w="297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1.47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95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Service Responsiveness</w:t>
            </w:r>
          </w:p>
        </w:tc>
        <w:tc>
          <w:tcPr>
            <w:tcW w:w="162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0.63</w:t>
            </w:r>
          </w:p>
        </w:tc>
        <w:tc>
          <w:tcPr>
            <w:tcW w:w="297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1.58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95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Administrative Processes</w:t>
            </w:r>
          </w:p>
        </w:tc>
        <w:tc>
          <w:tcPr>
            <w:tcW w:w="162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0.60</w:t>
            </w:r>
          </w:p>
        </w:tc>
        <w:tc>
          <w:tcPr>
            <w:tcW w:w="297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1.67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95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Technological Adaptation</w:t>
            </w:r>
          </w:p>
        </w:tc>
        <w:tc>
          <w:tcPr>
            <w:tcW w:w="162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0.56</w:t>
            </w:r>
          </w:p>
        </w:tc>
        <w:tc>
          <w:tcPr>
            <w:tcW w:w="297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1.79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955"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Organizational Structure</w:t>
            </w:r>
          </w:p>
        </w:tc>
        <w:tc>
          <w:tcPr>
            <w:tcW w:w="162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0.52</w:t>
            </w:r>
          </w:p>
        </w:tc>
        <w:tc>
          <w:tcPr>
            <w:tcW w:w="2970" w:type="dxa"/>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1.89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955" w:type="dxa"/>
            <w:tcBorders>
              <w:bottom w:val="single" w:color="auto" w:sz="4" w:space="0"/>
            </w:tcBorders>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Staff Competency</w:t>
            </w:r>
          </w:p>
        </w:tc>
        <w:tc>
          <w:tcPr>
            <w:tcW w:w="1620" w:type="dxa"/>
            <w:tcBorders>
              <w:bottom w:val="single" w:color="auto" w:sz="4" w:space="0"/>
            </w:tcBorders>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0.47</w:t>
            </w:r>
          </w:p>
        </w:tc>
        <w:tc>
          <w:tcPr>
            <w:tcW w:w="2970" w:type="dxa"/>
            <w:tcBorders>
              <w:bottom w:val="single" w:color="auto" w:sz="4" w:space="0"/>
            </w:tcBorders>
          </w:tcPr>
          <w:p>
            <w:pPr>
              <w:keepNext w:val="0"/>
              <w:keepLines w:val="0"/>
              <w:widowControl/>
              <w:suppressLineNumbers w:val="0"/>
              <w:spacing w:before="0" w:beforeAutospacing="0" w:after="0" w:afterAutospacing="0" w:line="240" w:lineRule="auto"/>
              <w:ind w:left="0" w:right="0"/>
              <w:rPr>
                <w:rFonts w:hint="eastAsia"/>
                <w:sz w:val="20"/>
                <w:szCs w:val="20"/>
              </w:rPr>
            </w:pPr>
            <w:r>
              <w:rPr>
                <w:rFonts w:hint="eastAsia"/>
                <w:sz w:val="20"/>
                <w:szCs w:val="20"/>
              </w:rPr>
              <w:t>2.10</w:t>
            </w:r>
          </w:p>
        </w:tc>
      </w:tr>
    </w:tbl>
    <w:p>
      <w:bookmarkStart w:id="164" w:name="_Toc32028"/>
      <w:r>
        <w:t>Source: research data,(2024)</w:t>
      </w:r>
    </w:p>
    <w:p>
      <w:pPr>
        <w:pStyle w:val="4"/>
      </w:pPr>
      <w:r>
        <w:t>4.5.4 Outliers</w:t>
      </w:r>
      <w:bookmarkEnd w:id="164"/>
    </w:p>
    <w:p>
      <w:r>
        <w:t>Outliers were checked using Leverage, Cook’s Distance, and Mahalanobis Distance to assess whether any observations disproportionately influenced the regression model. Leverage values for all cases were below the 0.2 threshold, indicating that no single observation had an excessive impact on model estimates. Cook’s Distance, which measures the effect of individual observations on model fit, revealed values below 0.5, suggesting no undue influence from any single observation. Mahalanobis Distance calculations further confirmed the absence of significant multivariate outliers, with none exceeding the critical threshold (p &lt; 0.001). This comprehensive analysis supports the model’s robustness, ensuring that results are not skewed by extreme or influential data points.</w:t>
      </w:r>
    </w:p>
    <w:p>
      <w:pPr>
        <w:pStyle w:val="12"/>
        <w:keepNext/>
        <w:rPr>
          <w:b/>
          <w:bCs/>
          <w:color w:val="auto"/>
          <w:sz w:val="24"/>
          <w:szCs w:val="24"/>
        </w:rPr>
      </w:pPr>
      <w:bookmarkStart w:id="165" w:name="_Toc182070303"/>
      <w:r>
        <w:rPr>
          <w:b/>
          <w:bCs/>
          <w:color w:val="auto"/>
          <w:sz w:val="24"/>
          <w:szCs w:val="24"/>
        </w:rPr>
        <w:t>Table 4.</w:t>
      </w:r>
      <w:r>
        <w:rPr>
          <w:b/>
          <w:bCs/>
          <w:color w:val="auto"/>
          <w:sz w:val="24"/>
          <w:szCs w:val="24"/>
        </w:rPr>
        <w:fldChar w:fldCharType="begin"/>
      </w:r>
      <w:r>
        <w:rPr>
          <w:b/>
          <w:bCs/>
          <w:color w:val="auto"/>
          <w:sz w:val="24"/>
          <w:szCs w:val="24"/>
        </w:rPr>
        <w:instrText xml:space="preserve"> SEQ Table \* ARABIC </w:instrText>
      </w:r>
      <w:r>
        <w:rPr>
          <w:b/>
          <w:bCs/>
          <w:color w:val="auto"/>
          <w:sz w:val="24"/>
          <w:szCs w:val="24"/>
        </w:rPr>
        <w:fldChar w:fldCharType="separate"/>
      </w:r>
      <w:r>
        <w:rPr>
          <w:b/>
          <w:bCs/>
          <w:color w:val="auto"/>
          <w:sz w:val="24"/>
          <w:szCs w:val="24"/>
        </w:rPr>
        <w:t>15</w:t>
      </w:r>
      <w:r>
        <w:rPr>
          <w:b/>
          <w:bCs/>
          <w:color w:val="auto"/>
          <w:sz w:val="24"/>
          <w:szCs w:val="24"/>
        </w:rPr>
        <w:fldChar w:fldCharType="end"/>
      </w:r>
      <w:r>
        <w:rPr>
          <w:b/>
          <w:bCs/>
          <w:color w:val="auto"/>
          <w:sz w:val="24"/>
          <w:szCs w:val="24"/>
        </w:rPr>
        <w:t>: Outlier Analysis Results</w:t>
      </w:r>
      <w:bookmarkEnd w:id="165"/>
    </w:p>
    <w:tbl>
      <w:tblPr>
        <w:tblStyle w:val="21"/>
        <w:tblW w:w="0" w:type="auto"/>
        <w:tblInd w:w="0" w:type="dxa"/>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Layout w:type="autofit"/>
        <w:tblCellMar>
          <w:top w:w="0" w:type="dxa"/>
          <w:left w:w="108" w:type="dxa"/>
          <w:bottom w:w="0" w:type="dxa"/>
          <w:right w:w="108" w:type="dxa"/>
        </w:tblCellMar>
      </w:tblPr>
      <w:tblGrid>
        <w:gridCol w:w="1999"/>
        <w:gridCol w:w="2218"/>
        <w:gridCol w:w="1651"/>
        <w:gridCol w:w="2785"/>
      </w:tblGrid>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16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Analysis Type</w:t>
            </w:r>
          </w:p>
        </w:tc>
        <w:tc>
          <w:tcPr>
            <w:tcW w:w="2218"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16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Threshold Value</w:t>
            </w:r>
          </w:p>
        </w:tc>
        <w:tc>
          <w:tcPr>
            <w:tcW w:w="1651"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16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Maximum Value Observed</w:t>
            </w:r>
          </w:p>
        </w:tc>
        <w:tc>
          <w:tcPr>
            <w:tcW w:w="2785"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16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Conclusion</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16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Leverage</w:t>
            </w:r>
          </w:p>
        </w:tc>
        <w:tc>
          <w:tcPr>
            <w:tcW w:w="2218"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16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0.2</w:t>
            </w:r>
          </w:p>
        </w:tc>
        <w:tc>
          <w:tcPr>
            <w:tcW w:w="1651"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16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0.15</w:t>
            </w:r>
          </w:p>
        </w:tc>
        <w:tc>
          <w:tcPr>
            <w:tcW w:w="2785"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16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No influential leverage points</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16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Cook’s Distance</w:t>
            </w:r>
          </w:p>
        </w:tc>
        <w:tc>
          <w:tcPr>
            <w:tcW w:w="2218" w:type="dxa"/>
            <w:tcBorders>
              <w:top w:val="nil"/>
              <w:left w:val="nil"/>
              <w:bottom w:val="nil"/>
              <w:right w:val="nil"/>
            </w:tcBorders>
            <w:shd w:val="clear" w:color="auto" w:fill="auto"/>
            <w:vAlign w:val="top"/>
          </w:tcPr>
          <w:p>
            <w:pPr>
              <w:keepNext w:val="0"/>
              <w:keepLines w:val="0"/>
              <w:widowControl/>
              <w:suppressLineNumbers w:val="0"/>
              <w:spacing w:before="0" w:beforeAutospacing="0" w:after="16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0.5</w:t>
            </w:r>
          </w:p>
        </w:tc>
        <w:tc>
          <w:tcPr>
            <w:tcW w:w="1651" w:type="dxa"/>
            <w:tcBorders>
              <w:top w:val="nil"/>
              <w:left w:val="nil"/>
              <w:bottom w:val="nil"/>
              <w:right w:val="nil"/>
            </w:tcBorders>
            <w:shd w:val="clear" w:color="auto" w:fill="auto"/>
            <w:vAlign w:val="top"/>
          </w:tcPr>
          <w:p>
            <w:pPr>
              <w:keepNext w:val="0"/>
              <w:keepLines w:val="0"/>
              <w:widowControl/>
              <w:suppressLineNumbers w:val="0"/>
              <w:spacing w:before="0" w:beforeAutospacing="0" w:after="16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0.32</w:t>
            </w:r>
          </w:p>
        </w:tc>
        <w:tc>
          <w:tcPr>
            <w:tcW w:w="2785" w:type="dxa"/>
            <w:tcBorders>
              <w:top w:val="nil"/>
              <w:left w:val="nil"/>
              <w:bottom w:val="nil"/>
              <w:right w:val="nil"/>
            </w:tcBorders>
            <w:shd w:val="clear" w:color="auto" w:fill="auto"/>
            <w:vAlign w:val="top"/>
          </w:tcPr>
          <w:p>
            <w:pPr>
              <w:keepNext w:val="0"/>
              <w:keepLines w:val="0"/>
              <w:widowControl/>
              <w:suppressLineNumbers w:val="0"/>
              <w:spacing w:before="0" w:beforeAutospacing="0" w:after="16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No undue influence observed</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16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Mahalanobis Distance</w:t>
            </w:r>
          </w:p>
        </w:tc>
        <w:tc>
          <w:tcPr>
            <w:tcW w:w="2218"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16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Critical (p &lt; 0.001)</w:t>
            </w:r>
          </w:p>
        </w:tc>
        <w:tc>
          <w:tcPr>
            <w:tcW w:w="1651"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16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2.85</w:t>
            </w:r>
          </w:p>
        </w:tc>
        <w:tc>
          <w:tcPr>
            <w:tcW w:w="2785"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16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No significant multivariate outliers</w:t>
            </w:r>
          </w:p>
        </w:tc>
      </w:tr>
    </w:tbl>
    <w:p>
      <w:r>
        <w:t>Source: research data,(2024)</w:t>
      </w:r>
    </w:p>
    <w:p>
      <w:pPr>
        <w:rPr>
          <w:b/>
          <w:bCs/>
        </w:rPr>
      </w:pPr>
    </w:p>
    <w:p>
      <w:pPr>
        <w:rPr>
          <w:b/>
          <w:bCs/>
        </w:rPr>
      </w:pPr>
      <w:r>
        <w:rPr>
          <w:b/>
          <w:bCs/>
        </w:rPr>
        <w:t>4.5.5 Linearity Test</w:t>
      </w:r>
    </w:p>
    <w:p>
      <w:r>
        <w:t>The linearity between the independent variables and the dependent variable (Perceived Welfare Enhancement of Public Servants) was assessed using Pearson’s correlation coefficient (r). Strong, positive correlations were found between the independent variables—including Accessibility of Benefits, Service Responsiveness, Staff Competency, and Organizational Structure—and the perceived welfare enhancement of public servants. Staff Competency exhibited the highest correlation (r = 0.84, p = 0.002), highlighting its critical role in welfare enhancement post-merger.</w:t>
      </w:r>
    </w:p>
    <w:p>
      <w:pPr>
        <w:pStyle w:val="12"/>
        <w:keepNext/>
        <w:rPr>
          <w:b/>
          <w:bCs/>
          <w:color w:val="000000"/>
          <w:sz w:val="24"/>
          <w:szCs w:val="24"/>
        </w:rPr>
      </w:pPr>
      <w:bookmarkStart w:id="166" w:name="_Toc182070304"/>
      <w:r>
        <w:rPr>
          <w:b/>
          <w:bCs/>
          <w:color w:val="000000"/>
          <w:sz w:val="24"/>
          <w:szCs w:val="24"/>
        </w:rPr>
        <w:t xml:space="preserve">Table </w:t>
      </w:r>
      <w:r>
        <w:rPr>
          <w:b/>
          <w:bCs/>
          <w:color w:val="000000"/>
          <w:sz w:val="24"/>
          <w:szCs w:val="24"/>
        </w:rPr>
        <w:fldChar w:fldCharType="begin"/>
      </w:r>
      <w:r>
        <w:rPr>
          <w:b/>
          <w:bCs/>
          <w:color w:val="000000"/>
          <w:sz w:val="24"/>
          <w:szCs w:val="24"/>
        </w:rPr>
        <w:instrText xml:space="preserve"> SEQ Table \* ARABIC </w:instrText>
      </w:r>
      <w:r>
        <w:rPr>
          <w:b/>
          <w:bCs/>
          <w:color w:val="000000"/>
          <w:sz w:val="24"/>
          <w:szCs w:val="24"/>
        </w:rPr>
        <w:fldChar w:fldCharType="separate"/>
      </w:r>
      <w:r>
        <w:rPr>
          <w:b/>
          <w:bCs/>
          <w:color w:val="000000"/>
          <w:sz w:val="24"/>
          <w:szCs w:val="24"/>
        </w:rPr>
        <w:t>16</w:t>
      </w:r>
      <w:r>
        <w:rPr>
          <w:b/>
          <w:bCs/>
          <w:color w:val="000000"/>
          <w:sz w:val="24"/>
          <w:szCs w:val="24"/>
        </w:rPr>
        <w:fldChar w:fldCharType="end"/>
      </w:r>
      <w:r>
        <w:rPr>
          <w:b/>
          <w:bCs/>
          <w:color w:val="000000"/>
          <w:sz w:val="24"/>
          <w:szCs w:val="24"/>
        </w:rPr>
        <w:t>: Linearity Test (Correlation Matrix)</w:t>
      </w:r>
      <w:bookmarkEnd w:id="166"/>
    </w:p>
    <w:tbl>
      <w:tblPr>
        <w:tblStyle w:val="21"/>
        <w:tblW w:w="0" w:type="auto"/>
        <w:tblInd w:w="0" w:type="dxa"/>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Layout w:type="autofit"/>
        <w:tblCellMar>
          <w:top w:w="0" w:type="dxa"/>
          <w:left w:w="108" w:type="dxa"/>
          <w:bottom w:w="0" w:type="dxa"/>
          <w:right w:w="108" w:type="dxa"/>
        </w:tblCellMar>
      </w:tblPr>
      <w:tblGrid>
        <w:gridCol w:w="1314"/>
        <w:gridCol w:w="1238"/>
        <w:gridCol w:w="1141"/>
        <w:gridCol w:w="1354"/>
        <w:gridCol w:w="1334"/>
        <w:gridCol w:w="1141"/>
        <w:gridCol w:w="1334"/>
      </w:tblGrid>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Variables</w:t>
            </w:r>
          </w:p>
        </w:tc>
        <w:tc>
          <w:tcPr>
            <w:tcW w:w="0" w:type="auto"/>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Perceived Welfare Enhancement</w:t>
            </w:r>
          </w:p>
        </w:tc>
        <w:tc>
          <w:tcPr>
            <w:tcW w:w="0" w:type="auto"/>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Accessibility of Benefits</w:t>
            </w:r>
          </w:p>
        </w:tc>
        <w:tc>
          <w:tcPr>
            <w:tcW w:w="0" w:type="auto"/>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Service Responsiveness</w:t>
            </w:r>
          </w:p>
        </w:tc>
        <w:tc>
          <w:tcPr>
            <w:tcW w:w="0" w:type="auto"/>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Administrative Processes</w:t>
            </w:r>
          </w:p>
        </w:tc>
        <w:tc>
          <w:tcPr>
            <w:tcW w:w="0" w:type="auto"/>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Staff Competency</w:t>
            </w:r>
          </w:p>
        </w:tc>
        <w:tc>
          <w:tcPr>
            <w:tcW w:w="0" w:type="auto"/>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Organizational Structure</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Perceived Welfare Enhancement</w:t>
            </w:r>
          </w:p>
        </w:tc>
        <w:tc>
          <w:tcPr>
            <w:tcW w:w="0" w:type="auto"/>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1.00</w:t>
            </w:r>
          </w:p>
        </w:tc>
        <w:tc>
          <w:tcPr>
            <w:tcW w:w="0" w:type="auto"/>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p>
        </w:tc>
        <w:tc>
          <w:tcPr>
            <w:tcW w:w="0" w:type="auto"/>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p>
        </w:tc>
        <w:tc>
          <w:tcPr>
            <w:tcW w:w="0" w:type="auto"/>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p>
        </w:tc>
        <w:tc>
          <w:tcPr>
            <w:tcW w:w="0" w:type="auto"/>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p>
        </w:tc>
        <w:tc>
          <w:tcPr>
            <w:tcW w:w="0" w:type="auto"/>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Accessibility of Benefits</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0.78* (0.004)</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1.00</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Service Responsiveness</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0.82* (0.003)</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0.74* (0.006)</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1.00</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Administrative Processes</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0.75* (0.005)</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0.70* (0.008)</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0.72* (0.006)</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1.00</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Staff Competency</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0.84* (0.002)</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0.73* (0.007)</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0.76* (0.004)</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0.72* (0.007)</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1.00</w:t>
            </w:r>
          </w:p>
        </w:tc>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Organizational Structure</w:t>
            </w:r>
          </w:p>
        </w:tc>
        <w:tc>
          <w:tcPr>
            <w:tcW w:w="0" w:type="auto"/>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0.79* (0.003)</w:t>
            </w:r>
          </w:p>
        </w:tc>
        <w:tc>
          <w:tcPr>
            <w:tcW w:w="0" w:type="auto"/>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0.69* (0.008)</w:t>
            </w:r>
          </w:p>
        </w:tc>
        <w:tc>
          <w:tcPr>
            <w:tcW w:w="0" w:type="auto"/>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0.71* (0.006)</w:t>
            </w:r>
          </w:p>
        </w:tc>
        <w:tc>
          <w:tcPr>
            <w:tcW w:w="0" w:type="auto"/>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0.74* (0.006)</w:t>
            </w:r>
          </w:p>
        </w:tc>
        <w:tc>
          <w:tcPr>
            <w:tcW w:w="0" w:type="auto"/>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0.76* (0.005)</w:t>
            </w:r>
          </w:p>
        </w:tc>
        <w:tc>
          <w:tcPr>
            <w:tcW w:w="0" w:type="auto"/>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1.00</w:t>
            </w:r>
          </w:p>
        </w:tc>
      </w:tr>
    </w:tbl>
    <w:p>
      <w:pPr>
        <w:rPr>
          <w:i/>
          <w:iCs/>
        </w:rPr>
      </w:pPr>
      <w:r>
        <w:rPr>
          <w:i/>
          <w:iCs/>
        </w:rPr>
        <w:t>*Significance level: p &lt; 0.05.</w:t>
      </w:r>
    </w:p>
    <w:p>
      <w:pPr>
        <w:pStyle w:val="4"/>
      </w:pPr>
      <w:bookmarkStart w:id="167" w:name="_Toc30271"/>
      <w:r>
        <w:t>4.5.6 Regression Analysis</w:t>
      </w:r>
      <w:bookmarkEnd w:id="167"/>
    </w:p>
    <w:p>
      <w:r>
        <w:t>A multiple linear regression analysis was conducted to explore the relationships between the independent variables (e.g., Accessibility of Benefits, Service Responsiveness, and Organizational Structure) and the perceived welfare enhancement of public servants. The model showed a strong fit, with an R-value of 0.878 and an R² of 0.771, indicating that 77.1% of the variance in perceived welfare enhancement is explained by the selected variables. The ANOVA test confirmed the model's significance (F = 39.21, p &lt; 0.001), underscoring the impact of these factors on welfare enhancement.</w:t>
      </w:r>
    </w:p>
    <w:p>
      <w:pPr>
        <w:pStyle w:val="12"/>
        <w:keepNext/>
        <w:rPr>
          <w:b/>
          <w:bCs/>
          <w:color w:val="000000"/>
          <w:sz w:val="24"/>
          <w:szCs w:val="24"/>
        </w:rPr>
      </w:pPr>
      <w:bookmarkStart w:id="168" w:name="_Toc182070305"/>
      <w:r>
        <w:rPr>
          <w:b/>
          <w:bCs/>
          <w:color w:val="000000"/>
          <w:sz w:val="24"/>
          <w:szCs w:val="24"/>
        </w:rPr>
        <w:t>Table 4.</w:t>
      </w:r>
      <w:r>
        <w:rPr>
          <w:b/>
          <w:bCs/>
          <w:color w:val="000000"/>
          <w:sz w:val="24"/>
          <w:szCs w:val="24"/>
        </w:rPr>
        <w:fldChar w:fldCharType="begin"/>
      </w:r>
      <w:r>
        <w:rPr>
          <w:b/>
          <w:bCs/>
          <w:color w:val="000000"/>
          <w:sz w:val="24"/>
          <w:szCs w:val="24"/>
        </w:rPr>
        <w:instrText xml:space="preserve"> SEQ Table \* ARABIC </w:instrText>
      </w:r>
      <w:r>
        <w:rPr>
          <w:b/>
          <w:bCs/>
          <w:color w:val="000000"/>
          <w:sz w:val="24"/>
          <w:szCs w:val="24"/>
        </w:rPr>
        <w:fldChar w:fldCharType="separate"/>
      </w:r>
      <w:r>
        <w:rPr>
          <w:b/>
          <w:bCs/>
          <w:color w:val="000000"/>
          <w:sz w:val="24"/>
          <w:szCs w:val="24"/>
        </w:rPr>
        <w:t>17</w:t>
      </w:r>
      <w:r>
        <w:rPr>
          <w:b/>
          <w:bCs/>
          <w:color w:val="000000"/>
          <w:sz w:val="24"/>
          <w:szCs w:val="24"/>
        </w:rPr>
        <w:fldChar w:fldCharType="end"/>
      </w:r>
      <w:r>
        <w:rPr>
          <w:b/>
          <w:bCs/>
          <w:color w:val="000000"/>
          <w:sz w:val="24"/>
          <w:szCs w:val="24"/>
        </w:rPr>
        <w:t>: Regression Diagnostics Model Summary</w:t>
      </w:r>
      <w:bookmarkEnd w:id="168"/>
    </w:p>
    <w:tbl>
      <w:tblPr>
        <w:tblStyle w:val="21"/>
        <w:tblW w:w="0" w:type="auto"/>
        <w:tblInd w:w="0" w:type="dxa"/>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Layout w:type="autofit"/>
        <w:tblCellMar>
          <w:top w:w="0" w:type="dxa"/>
          <w:left w:w="108" w:type="dxa"/>
          <w:bottom w:w="0" w:type="dxa"/>
          <w:right w:w="108" w:type="dxa"/>
        </w:tblCellMar>
      </w:tblPr>
      <w:tblGrid>
        <w:gridCol w:w="1165"/>
        <w:gridCol w:w="1260"/>
        <w:gridCol w:w="2340"/>
        <w:gridCol w:w="3780"/>
      </w:tblGrid>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1165"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bookmarkStart w:id="169" w:name="_Toc23214"/>
            <w:r>
              <w:rPr>
                <w:rFonts w:hint="default" w:ascii="Times New Roman" w:hAnsi="Times New Roman" w:eastAsia="Calibri" w:cs="SimSun"/>
                <w:b/>
                <w:bCs/>
                <w:kern w:val="0"/>
                <w:sz w:val="20"/>
                <w:szCs w:val="20"/>
                <w:lang w:val="en-US" w:eastAsia="zh-CN" w:bidi="ar"/>
              </w:rPr>
              <w:t>R</w:t>
            </w:r>
          </w:p>
        </w:tc>
        <w:tc>
          <w:tcPr>
            <w:tcW w:w="1260"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R Square</w:t>
            </w:r>
          </w:p>
        </w:tc>
        <w:tc>
          <w:tcPr>
            <w:tcW w:w="2340"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Adjusted R Square</w:t>
            </w:r>
          </w:p>
        </w:tc>
        <w:tc>
          <w:tcPr>
            <w:tcW w:w="3780"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Std. Error of the Estimate</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1165" w:type="dxa"/>
            <w:tcBorders>
              <w:top w:val="single" w:color="auto" w:sz="4" w:space="0"/>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0.878</w:t>
            </w:r>
          </w:p>
        </w:tc>
        <w:tc>
          <w:tcPr>
            <w:tcW w:w="1260" w:type="dxa"/>
            <w:tcBorders>
              <w:top w:val="single" w:color="auto" w:sz="4" w:space="0"/>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0.771</w:t>
            </w:r>
          </w:p>
        </w:tc>
        <w:tc>
          <w:tcPr>
            <w:tcW w:w="2340" w:type="dxa"/>
            <w:tcBorders>
              <w:top w:val="single" w:color="auto" w:sz="4" w:space="0"/>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0.756</w:t>
            </w:r>
          </w:p>
        </w:tc>
        <w:tc>
          <w:tcPr>
            <w:tcW w:w="3780" w:type="dxa"/>
            <w:tcBorders>
              <w:top w:val="single" w:color="auto" w:sz="4" w:space="0"/>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2.591</w:t>
            </w:r>
          </w:p>
        </w:tc>
      </w:tr>
    </w:tbl>
    <w:p>
      <w:pPr>
        <w:pStyle w:val="4"/>
      </w:pPr>
    </w:p>
    <w:p>
      <w:pPr>
        <w:pStyle w:val="4"/>
        <w:pageBreakBefore w:val="0"/>
        <w:widowControl/>
        <w:kinsoku/>
        <w:wordWrap/>
        <w:overflowPunct/>
        <w:topLinePunct w:val="0"/>
        <w:autoSpaceDE/>
        <w:autoSpaceDN/>
        <w:bidi w:val="0"/>
        <w:adjustRightInd/>
        <w:snapToGrid/>
        <w:spacing w:before="240" w:after="0" w:line="360" w:lineRule="auto"/>
        <w:textAlignment w:val="auto"/>
      </w:pPr>
      <w:r>
        <w:t>4.5.7. Regression Analysis Results</w:t>
      </w:r>
      <w:bookmarkEnd w:id="169"/>
    </w:p>
    <w:p>
      <w:pPr>
        <w:pageBreakBefore w:val="0"/>
        <w:widowControl/>
        <w:kinsoku/>
        <w:wordWrap/>
        <w:overflowPunct/>
        <w:topLinePunct w:val="0"/>
        <w:autoSpaceDE/>
        <w:autoSpaceDN/>
        <w:bidi w:val="0"/>
        <w:adjustRightInd/>
        <w:snapToGrid/>
        <w:spacing w:before="240" w:after="0" w:line="360" w:lineRule="auto"/>
        <w:textAlignment w:val="auto"/>
      </w:pPr>
      <w:r>
        <w:t>The resulting regression equation for the perceived welfare enhancement of public servants (Y) is as follows:</w:t>
      </w:r>
    </w:p>
    <w:p>
      <w:r>
        <w:t>Y=0.825−0.385X1+0.298X2+0.265X3+0.413X4−0.372X5</w:t>
      </w:r>
    </w:p>
    <w:p>
      <w:r>
        <w:t>where X1​ to X5​ represent the identified independent variables. Staff Competency (X4​) demonstrated the strongest positive influence on perceived welfare enhancement (B = 0.413, p &lt; 0.001), while Accessibility of Benefits (X1​) had a negative impact (B = -0.385, p &lt; 0.001). Each variable was statistically significant, confirming their crucial role in influencing the welfare outcomes.</w:t>
      </w:r>
    </w:p>
    <w:p>
      <w:pPr>
        <w:pStyle w:val="12"/>
        <w:keepNext/>
        <w:pageBreakBefore w:val="0"/>
        <w:widowControl/>
        <w:kinsoku/>
        <w:wordWrap/>
        <w:overflowPunct/>
        <w:topLinePunct w:val="0"/>
        <w:autoSpaceDE/>
        <w:autoSpaceDN/>
        <w:bidi w:val="0"/>
        <w:adjustRightInd/>
        <w:snapToGrid/>
        <w:spacing w:before="240" w:after="0" w:line="360" w:lineRule="auto"/>
        <w:textAlignment w:val="auto"/>
        <w:rPr>
          <w:b/>
          <w:bCs/>
          <w:color w:val="000000"/>
          <w:sz w:val="24"/>
          <w:szCs w:val="24"/>
        </w:rPr>
      </w:pPr>
      <w:bookmarkStart w:id="170" w:name="_Toc182070306"/>
      <w:r>
        <w:rPr>
          <w:b/>
          <w:bCs/>
          <w:color w:val="000000"/>
          <w:sz w:val="24"/>
          <w:szCs w:val="24"/>
        </w:rPr>
        <w:t xml:space="preserve">Table </w:t>
      </w:r>
      <w:r>
        <w:rPr>
          <w:b/>
          <w:bCs/>
          <w:color w:val="000000"/>
          <w:sz w:val="24"/>
          <w:szCs w:val="24"/>
        </w:rPr>
        <w:fldChar w:fldCharType="begin"/>
      </w:r>
      <w:r>
        <w:rPr>
          <w:b/>
          <w:bCs/>
          <w:color w:val="000000"/>
          <w:sz w:val="24"/>
          <w:szCs w:val="24"/>
        </w:rPr>
        <w:instrText xml:space="preserve"> SEQ Table \* ARABIC </w:instrText>
      </w:r>
      <w:r>
        <w:rPr>
          <w:b/>
          <w:bCs/>
          <w:color w:val="000000"/>
          <w:sz w:val="24"/>
          <w:szCs w:val="24"/>
        </w:rPr>
        <w:fldChar w:fldCharType="separate"/>
      </w:r>
      <w:r>
        <w:rPr>
          <w:b/>
          <w:bCs/>
          <w:color w:val="000000"/>
          <w:sz w:val="24"/>
          <w:szCs w:val="24"/>
        </w:rPr>
        <w:t>18</w:t>
      </w:r>
      <w:r>
        <w:rPr>
          <w:b/>
          <w:bCs/>
          <w:color w:val="000000"/>
          <w:sz w:val="24"/>
          <w:szCs w:val="24"/>
        </w:rPr>
        <w:fldChar w:fldCharType="end"/>
      </w:r>
      <w:r>
        <w:rPr>
          <w:b/>
          <w:bCs/>
          <w:color w:val="000000"/>
          <w:sz w:val="24"/>
          <w:szCs w:val="24"/>
        </w:rPr>
        <w:t>: Multiple Regression Analysis Parameter Estimation Results</w:t>
      </w:r>
      <w:bookmarkEnd w:id="170"/>
    </w:p>
    <w:tbl>
      <w:tblPr>
        <w:tblStyle w:val="21"/>
        <w:tblW w:w="8635" w:type="dxa"/>
        <w:tblInd w:w="0" w:type="dxa"/>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Layout w:type="autofit"/>
        <w:tblCellMar>
          <w:top w:w="0" w:type="dxa"/>
          <w:left w:w="108" w:type="dxa"/>
          <w:bottom w:w="0" w:type="dxa"/>
          <w:right w:w="108" w:type="dxa"/>
        </w:tblCellMar>
      </w:tblPr>
      <w:tblGrid>
        <w:gridCol w:w="2589"/>
        <w:gridCol w:w="1006"/>
        <w:gridCol w:w="1530"/>
        <w:gridCol w:w="1080"/>
        <w:gridCol w:w="1080"/>
        <w:gridCol w:w="1350"/>
      </w:tblGrid>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Coefficient</w:t>
            </w:r>
          </w:p>
        </w:tc>
        <w:tc>
          <w:tcPr>
            <w:tcW w:w="1006"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B</w:t>
            </w:r>
          </w:p>
        </w:tc>
        <w:tc>
          <w:tcPr>
            <w:tcW w:w="1530"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Std. Error</w:t>
            </w:r>
          </w:p>
        </w:tc>
        <w:tc>
          <w:tcPr>
            <w:tcW w:w="1080"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Beta</w:t>
            </w:r>
          </w:p>
        </w:tc>
        <w:tc>
          <w:tcPr>
            <w:tcW w:w="1080"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t</w:t>
            </w:r>
          </w:p>
        </w:tc>
        <w:tc>
          <w:tcPr>
            <w:tcW w:w="1350" w:type="dxa"/>
            <w:tcBorders>
              <w:top w:val="single" w:color="auto" w:sz="4" w:space="0"/>
              <w:left w:val="nil"/>
              <w:bottom w:val="single" w:color="auto" w:sz="4" w:space="0"/>
              <w:right w:val="nil"/>
            </w:tcBorders>
            <w:shd w:val="clear" w:color="auto" w:fill="D9E2F3"/>
            <w:vAlign w:val="top"/>
          </w:tcPr>
          <w:p>
            <w:pPr>
              <w:keepNext w:val="0"/>
              <w:keepLines w:val="0"/>
              <w:widowControl/>
              <w:suppressLineNumbers w:val="0"/>
              <w:spacing w:before="0" w:beforeAutospacing="0" w:after="0" w:afterAutospacing="0" w:line="240" w:lineRule="auto"/>
              <w:ind w:left="0" w:right="0"/>
              <w:jc w:val="both"/>
              <w:rPr>
                <w:rFonts w:hint="eastAsia"/>
                <w:b/>
                <w:bCs/>
                <w:sz w:val="20"/>
                <w:szCs w:val="20"/>
              </w:rPr>
            </w:pPr>
            <w:r>
              <w:rPr>
                <w:rFonts w:hint="default" w:ascii="Times New Roman" w:hAnsi="Times New Roman" w:eastAsia="Calibri" w:cs="SimSun"/>
                <w:b/>
                <w:bCs/>
                <w:kern w:val="0"/>
                <w:sz w:val="20"/>
                <w:szCs w:val="20"/>
                <w:lang w:val="en-US" w:eastAsia="zh-CN" w:bidi="ar"/>
              </w:rPr>
              <w:t>Sig.</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(Constant)</w:t>
            </w:r>
          </w:p>
        </w:tc>
        <w:tc>
          <w:tcPr>
            <w:tcW w:w="1006"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0.825</w:t>
            </w:r>
          </w:p>
        </w:tc>
        <w:tc>
          <w:tcPr>
            <w:tcW w:w="1530"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0.082</w:t>
            </w:r>
          </w:p>
        </w:tc>
        <w:tc>
          <w:tcPr>
            <w:tcW w:w="1080"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p>
        </w:tc>
        <w:tc>
          <w:tcPr>
            <w:tcW w:w="1080"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10.06</w:t>
            </w:r>
          </w:p>
        </w:tc>
        <w:tc>
          <w:tcPr>
            <w:tcW w:w="1350" w:type="dxa"/>
            <w:tcBorders>
              <w:top w:val="single" w:color="auto" w:sz="4" w:space="0"/>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0.000</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Accessibility of Benefits</w:t>
            </w:r>
          </w:p>
        </w:tc>
        <w:tc>
          <w:tcPr>
            <w:tcW w:w="1006"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-0.385</w:t>
            </w:r>
          </w:p>
        </w:tc>
        <w:tc>
          <w:tcPr>
            <w:tcW w:w="153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0.104</w:t>
            </w:r>
          </w:p>
        </w:tc>
        <w:tc>
          <w:tcPr>
            <w:tcW w:w="108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-0.320</w:t>
            </w:r>
          </w:p>
        </w:tc>
        <w:tc>
          <w:tcPr>
            <w:tcW w:w="108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-3.70</w:t>
            </w:r>
          </w:p>
        </w:tc>
        <w:tc>
          <w:tcPr>
            <w:tcW w:w="135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0.000</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Adequacy of Benefits</w:t>
            </w:r>
          </w:p>
        </w:tc>
        <w:tc>
          <w:tcPr>
            <w:tcW w:w="1006"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0.298</w:t>
            </w:r>
          </w:p>
        </w:tc>
        <w:tc>
          <w:tcPr>
            <w:tcW w:w="153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0.095</w:t>
            </w:r>
          </w:p>
        </w:tc>
        <w:tc>
          <w:tcPr>
            <w:tcW w:w="108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0.270</w:t>
            </w:r>
          </w:p>
        </w:tc>
        <w:tc>
          <w:tcPr>
            <w:tcW w:w="108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3.13</w:t>
            </w:r>
          </w:p>
        </w:tc>
        <w:tc>
          <w:tcPr>
            <w:tcW w:w="135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0.002</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Service Responsiveness</w:t>
            </w:r>
          </w:p>
        </w:tc>
        <w:tc>
          <w:tcPr>
            <w:tcW w:w="1006"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0.265</w:t>
            </w:r>
          </w:p>
        </w:tc>
        <w:tc>
          <w:tcPr>
            <w:tcW w:w="153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0.098</w:t>
            </w:r>
          </w:p>
        </w:tc>
        <w:tc>
          <w:tcPr>
            <w:tcW w:w="108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0.230</w:t>
            </w:r>
          </w:p>
        </w:tc>
        <w:tc>
          <w:tcPr>
            <w:tcW w:w="108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2.71</w:t>
            </w:r>
          </w:p>
        </w:tc>
        <w:tc>
          <w:tcPr>
            <w:tcW w:w="135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0.007</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shd w:val="clear" w:color="auto" w:fill="auto"/>
          <w:tblCellMar>
            <w:top w:w="0" w:type="dxa"/>
            <w:left w:w="108" w:type="dxa"/>
            <w:bottom w:w="0" w:type="dxa"/>
            <w:right w:w="108" w:type="dxa"/>
          </w:tblCellMar>
        </w:tblPrEx>
        <w:tc>
          <w:tcPr>
            <w:tcW w:w="0" w:type="auto"/>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Staff Competency</w:t>
            </w:r>
          </w:p>
        </w:tc>
        <w:tc>
          <w:tcPr>
            <w:tcW w:w="1006"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0.413</w:t>
            </w:r>
          </w:p>
        </w:tc>
        <w:tc>
          <w:tcPr>
            <w:tcW w:w="153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0.092</w:t>
            </w:r>
          </w:p>
        </w:tc>
        <w:tc>
          <w:tcPr>
            <w:tcW w:w="108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0.390</w:t>
            </w:r>
          </w:p>
        </w:tc>
        <w:tc>
          <w:tcPr>
            <w:tcW w:w="108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4.49</w:t>
            </w:r>
          </w:p>
        </w:tc>
        <w:tc>
          <w:tcPr>
            <w:tcW w:w="1350" w:type="dxa"/>
            <w:tcBorders>
              <w:top w:val="nil"/>
              <w:left w:val="nil"/>
              <w:bottom w:val="nil"/>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0.000</w:t>
            </w:r>
          </w:p>
        </w:tc>
      </w:tr>
      <w:tr>
        <w:tblPrEx>
          <w:tblBorders>
            <w:top w:val="single" w:color="auto" w:sz="4" w:space="0"/>
            <w:left w:val="none" w:color="auto" w:sz="4" w:space="0"/>
            <w:bottom w:val="single" w:color="auto" w:sz="4" w:space="0"/>
            <w:right w:val="none" w:color="auto" w:sz="4" w:space="0"/>
            <w:insideH w:val="none" w:color="auto" w:sz="4" w:space="0"/>
            <w:insideV w:val="none" w:color="auto" w:sz="4" w:space="0"/>
          </w:tblBorders>
          <w:tblCellMar>
            <w:top w:w="0" w:type="dxa"/>
            <w:left w:w="108" w:type="dxa"/>
            <w:bottom w:w="0" w:type="dxa"/>
            <w:right w:w="108" w:type="dxa"/>
          </w:tblCellMar>
        </w:tblPrEx>
        <w:tc>
          <w:tcPr>
            <w:tcW w:w="0" w:type="auto"/>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Organizational Structure</w:t>
            </w:r>
          </w:p>
        </w:tc>
        <w:tc>
          <w:tcPr>
            <w:tcW w:w="1006"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-0.372</w:t>
            </w:r>
          </w:p>
        </w:tc>
        <w:tc>
          <w:tcPr>
            <w:tcW w:w="1530"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0.087</w:t>
            </w:r>
          </w:p>
        </w:tc>
        <w:tc>
          <w:tcPr>
            <w:tcW w:w="1080"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-0.330</w:t>
            </w:r>
          </w:p>
        </w:tc>
        <w:tc>
          <w:tcPr>
            <w:tcW w:w="1080"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-4.28</w:t>
            </w:r>
          </w:p>
        </w:tc>
        <w:tc>
          <w:tcPr>
            <w:tcW w:w="1350" w:type="dxa"/>
            <w:tcBorders>
              <w:top w:val="nil"/>
              <w:left w:val="nil"/>
              <w:bottom w:val="single" w:color="auto" w:sz="4" w:space="0"/>
              <w:right w:val="nil"/>
            </w:tcBorders>
            <w:shd w:val="clear" w:color="auto" w:fill="auto"/>
            <w:vAlign w:val="top"/>
          </w:tcPr>
          <w:p>
            <w:pPr>
              <w:keepNext w:val="0"/>
              <w:keepLines w:val="0"/>
              <w:widowControl/>
              <w:suppressLineNumbers w:val="0"/>
              <w:spacing w:before="0" w:beforeAutospacing="0" w:after="0" w:afterAutospacing="0" w:line="240" w:lineRule="auto"/>
              <w:ind w:left="0" w:right="0"/>
              <w:jc w:val="both"/>
              <w:rPr>
                <w:rFonts w:hint="eastAsia"/>
                <w:sz w:val="20"/>
                <w:szCs w:val="20"/>
              </w:rPr>
            </w:pPr>
            <w:r>
              <w:rPr>
                <w:rFonts w:hint="default" w:ascii="Times New Roman" w:hAnsi="Times New Roman" w:eastAsia="Calibri" w:cs="SimSun"/>
                <w:kern w:val="0"/>
                <w:sz w:val="20"/>
                <w:szCs w:val="20"/>
                <w:lang w:val="en-US" w:eastAsia="zh-CN" w:bidi="ar"/>
              </w:rPr>
              <w:t>0.000</w:t>
            </w:r>
          </w:p>
        </w:tc>
      </w:tr>
    </w:tbl>
    <w:p>
      <w:r>
        <w:t>Source: research data,(2024)</w:t>
      </w:r>
    </w:p>
    <w:p>
      <w:pPr>
        <w:sectPr>
          <w:pgSz w:w="12240" w:h="15840"/>
          <w:pgMar w:top="1440" w:right="1800" w:bottom="1440" w:left="1800" w:header="720" w:footer="720" w:gutter="0"/>
          <w:cols w:space="720" w:num="1"/>
          <w:docGrid w:linePitch="360" w:charSpace="0"/>
        </w:sectPr>
      </w:pPr>
    </w:p>
    <w:p/>
    <w:p>
      <w:pPr>
        <w:keepNext w:val="0"/>
        <w:keepLines w:val="0"/>
        <w:pageBreakBefore w:val="0"/>
        <w:widowControl/>
        <w:kinsoku/>
        <w:wordWrap/>
        <w:overflowPunct/>
        <w:topLinePunct w:val="0"/>
        <w:autoSpaceDE/>
        <w:autoSpaceDN/>
        <w:bidi w:val="0"/>
        <w:adjustRightInd/>
        <w:snapToGrid/>
        <w:spacing w:before="240" w:after="0" w:line="360" w:lineRule="auto"/>
        <w:contextualSpacing/>
        <w:jc w:val="center"/>
        <w:textAlignment w:val="auto"/>
        <w:outlineLvl w:val="0"/>
        <w:rPr>
          <w:rFonts w:eastAsia="SimSun"/>
          <w:b/>
          <w:bCs/>
          <w:szCs w:val="28"/>
        </w:rPr>
      </w:pPr>
      <w:bookmarkStart w:id="171" w:name="_Toc181564482"/>
      <w:bookmarkStart w:id="172" w:name="_Toc2954"/>
      <w:r>
        <w:rPr>
          <w:rFonts w:eastAsia="SimSun"/>
          <w:b/>
          <w:bCs/>
          <w:szCs w:val="28"/>
        </w:rPr>
        <w:t>CHAPTER FIVE</w:t>
      </w:r>
      <w:bookmarkEnd w:id="171"/>
      <w:bookmarkEnd w:id="172"/>
    </w:p>
    <w:p>
      <w:pPr>
        <w:keepNext w:val="0"/>
        <w:keepLines w:val="0"/>
        <w:pageBreakBefore w:val="0"/>
        <w:widowControl/>
        <w:kinsoku/>
        <w:wordWrap/>
        <w:overflowPunct/>
        <w:topLinePunct w:val="0"/>
        <w:autoSpaceDE/>
        <w:autoSpaceDN/>
        <w:bidi w:val="0"/>
        <w:adjustRightInd/>
        <w:snapToGrid/>
        <w:spacing w:before="240" w:after="0" w:line="360" w:lineRule="auto"/>
        <w:contextualSpacing/>
        <w:jc w:val="center"/>
        <w:textAlignment w:val="auto"/>
        <w:outlineLvl w:val="0"/>
        <w:rPr>
          <w:rFonts w:eastAsia="SimSun"/>
          <w:b/>
          <w:bCs/>
          <w:szCs w:val="28"/>
        </w:rPr>
      </w:pPr>
      <w:bookmarkStart w:id="173" w:name="_Toc13676"/>
      <w:bookmarkStart w:id="174" w:name="_Toc181564483"/>
      <w:r>
        <w:rPr>
          <w:rFonts w:eastAsia="SimSun"/>
          <w:b/>
          <w:bCs/>
          <w:szCs w:val="28"/>
        </w:rPr>
        <w:t>SUMMARY OF FINDINGS, CONCLUSIONS, AND RECOMMENDATIONS</w:t>
      </w:r>
      <w:bookmarkEnd w:id="173"/>
      <w:bookmarkEnd w:id="174"/>
    </w:p>
    <w:p>
      <w:pPr>
        <w:pageBreakBefore w:val="0"/>
        <w:widowControl/>
        <w:kinsoku/>
        <w:wordWrap/>
        <w:overflowPunct/>
        <w:topLinePunct w:val="0"/>
        <w:autoSpaceDE/>
        <w:autoSpaceDN/>
        <w:bidi w:val="0"/>
        <w:adjustRightInd/>
        <w:snapToGrid/>
        <w:spacing w:before="240" w:after="0"/>
        <w:textAlignment w:val="auto"/>
        <w:outlineLvl w:val="1"/>
        <w:rPr>
          <w:rFonts w:eastAsia="SimSun"/>
          <w:b/>
          <w:bCs/>
          <w:szCs w:val="26"/>
        </w:rPr>
      </w:pPr>
      <w:bookmarkStart w:id="175" w:name="_Toc15766"/>
      <w:bookmarkStart w:id="176" w:name="_Toc181564484"/>
      <w:r>
        <w:rPr>
          <w:rFonts w:eastAsia="SimSun"/>
          <w:b/>
          <w:bCs/>
          <w:szCs w:val="26"/>
        </w:rPr>
        <w:t>5.1 Introduction</w:t>
      </w:r>
      <w:bookmarkEnd w:id="175"/>
      <w:bookmarkEnd w:id="176"/>
    </w:p>
    <w:p>
      <w:pPr>
        <w:spacing w:before="0" w:after="200"/>
        <w:rPr>
          <w:rFonts w:eastAsia="SimSun" w:cs="Times New Roman"/>
          <w:szCs w:val="24"/>
        </w:rPr>
      </w:pPr>
      <w:r>
        <w:rPr>
          <w:rFonts w:eastAsia="SimSun" w:cs="Times New Roman"/>
          <w:szCs w:val="24"/>
        </w:rPr>
        <w:t>This chapter summarizes the key findings from the study on the compliance issues in the implementation of the Public Sector Social Security Fund (PSSSF) policies, specifically in improving the welfare of public servants. The findings are analyzed in light of the objectives outlined in Chapter Four. Furthermore, the chapter draws conclusions from these findings, proposes actionable recommendations, and suggests areas for future research on improving the management and delivery of social security benefits in Tanzania’s public sector.</w:t>
      </w:r>
    </w:p>
    <w:p>
      <w:pPr>
        <w:pageBreakBefore w:val="0"/>
        <w:widowControl/>
        <w:kinsoku/>
        <w:wordWrap/>
        <w:overflowPunct/>
        <w:topLinePunct w:val="0"/>
        <w:autoSpaceDE/>
        <w:autoSpaceDN/>
        <w:bidi w:val="0"/>
        <w:adjustRightInd/>
        <w:snapToGrid/>
        <w:spacing w:before="240" w:after="0"/>
        <w:textAlignment w:val="auto"/>
        <w:outlineLvl w:val="1"/>
        <w:rPr>
          <w:rFonts w:eastAsia="SimSun"/>
          <w:b/>
          <w:bCs/>
          <w:szCs w:val="26"/>
        </w:rPr>
      </w:pPr>
      <w:bookmarkStart w:id="177" w:name="_Toc181564485"/>
      <w:bookmarkStart w:id="178" w:name="_Toc8725"/>
      <w:r>
        <w:rPr>
          <w:rFonts w:eastAsia="SimSun"/>
          <w:b/>
          <w:bCs/>
          <w:szCs w:val="26"/>
        </w:rPr>
        <w:t>5.2 Summary of Findings</w:t>
      </w:r>
      <w:bookmarkEnd w:id="177"/>
      <w:bookmarkEnd w:id="178"/>
    </w:p>
    <w:p>
      <w:pPr>
        <w:spacing w:before="0" w:after="200"/>
        <w:rPr>
          <w:rFonts w:eastAsia="SimSun" w:cs="Times New Roman"/>
          <w:szCs w:val="24"/>
        </w:rPr>
      </w:pPr>
      <w:r>
        <w:rPr>
          <w:rFonts w:eastAsia="SimSun" w:cs="Times New Roman"/>
          <w:szCs w:val="24"/>
        </w:rPr>
        <w:t xml:space="preserve">The summary of findings is structured based on the research objectives presented in Chapter Four. </w:t>
      </w:r>
    </w:p>
    <w:p>
      <w:pPr>
        <w:pageBreakBefore w:val="0"/>
        <w:widowControl/>
        <w:kinsoku/>
        <w:wordWrap/>
        <w:overflowPunct/>
        <w:topLinePunct w:val="0"/>
        <w:autoSpaceDE/>
        <w:autoSpaceDN/>
        <w:bidi w:val="0"/>
        <w:adjustRightInd/>
        <w:snapToGrid/>
        <w:spacing w:before="240" w:after="0"/>
        <w:textAlignment w:val="auto"/>
        <w:outlineLvl w:val="1"/>
        <w:rPr>
          <w:rFonts w:eastAsia="SimSun"/>
          <w:b/>
          <w:bCs/>
          <w:szCs w:val="26"/>
        </w:rPr>
      </w:pPr>
      <w:bookmarkStart w:id="179" w:name="_Toc181564486"/>
      <w:bookmarkStart w:id="180" w:name="_Toc4690"/>
      <w:r>
        <w:rPr>
          <w:rFonts w:eastAsia="SimSun"/>
          <w:b/>
          <w:bCs/>
          <w:szCs w:val="26"/>
        </w:rPr>
        <w:t xml:space="preserve">5.2.1 </w:t>
      </w:r>
      <w:bookmarkEnd w:id="179"/>
      <w:r>
        <w:rPr>
          <w:rFonts w:eastAsia="SimSun"/>
          <w:b/>
          <w:bCs/>
          <w:szCs w:val="26"/>
        </w:rPr>
        <w:t>Perceptions of Public Servants Regarding PSSSF Welfare Benefits Post-Mergers</w:t>
      </w:r>
      <w:bookmarkEnd w:id="180"/>
    </w:p>
    <w:p>
      <w:pPr>
        <w:spacing w:before="240" w:after="200"/>
        <w:rPr>
          <w:rFonts w:eastAsia="SimSun" w:cs="Times New Roman"/>
          <w:szCs w:val="24"/>
        </w:rPr>
      </w:pPr>
      <w:r>
        <w:rPr>
          <w:rFonts w:eastAsia="SimSun" w:cs="Times New Roman"/>
          <w:szCs w:val="24"/>
        </w:rPr>
        <w:t>The findings reveal a generally positive perception of the welfare benefits provided by the Public Sector Social Security Fund (PSSSF) following the mergers and acquisitions. Many public servants expressed satisfaction with the benefits, highlighting improvements in retirement and disability support. However, a portion of respondents expressed dissatisfaction, suggesting that there are still areas needing attention, particularly in benefit quality and communication. While most participants felt that the merger had improved welfare benefits, some disagreed, reflecting mixed perceptions about the effectiveness of the changes. Key benefits, such as retirement and health coverage, were prioritized by most respondents, underscoring the importance of long-term financial security and healthcare. Awareness of benefit changes was generally high, although some members reported a lack of awareness, indicating that communication efforts may not have reached all members equally. Qualitative feedback indicated that while certain areas of welfare service improved, concerns remained regarding administrative delays and transparency. These findings align with other studies, which suggest that mergers in public service funds can enhance member satisfaction, but the success of these changes depends on effective implementation, tailored communication strategies, and addressing specific needs.</w:t>
      </w:r>
    </w:p>
    <w:p>
      <w:pPr>
        <w:pageBreakBefore w:val="0"/>
        <w:widowControl/>
        <w:kinsoku/>
        <w:wordWrap/>
        <w:overflowPunct/>
        <w:topLinePunct w:val="0"/>
        <w:autoSpaceDE/>
        <w:autoSpaceDN/>
        <w:bidi w:val="0"/>
        <w:adjustRightInd/>
        <w:snapToGrid/>
        <w:spacing w:before="240" w:after="0"/>
        <w:textAlignment w:val="auto"/>
        <w:rPr>
          <w:rFonts w:eastAsia="SimSun"/>
          <w:b/>
          <w:bCs/>
        </w:rPr>
      </w:pPr>
      <w:bookmarkStart w:id="181" w:name="_Toc181564487"/>
      <w:r>
        <w:rPr>
          <w:rFonts w:eastAsia="SimSun"/>
          <w:b/>
          <w:bCs/>
          <w:szCs w:val="26"/>
        </w:rPr>
        <w:t xml:space="preserve">5.2.2 </w:t>
      </w:r>
      <w:bookmarkEnd w:id="181"/>
      <w:r>
        <w:rPr>
          <w:rFonts w:eastAsia="SimSun"/>
          <w:b/>
          <w:bCs/>
        </w:rPr>
        <w:t>Changes in Service Delivery and Administrative Efficiency of the PSSSF Following the Mergers and Acquisitions</w:t>
      </w:r>
    </w:p>
    <w:p>
      <w:bookmarkStart w:id="182" w:name="_Toc181564488"/>
      <w:r>
        <w:t>The study on the impact of mergers and acquisitions on the Public Service Social Security Fund (PSSSF) found positive changes in service delivery and administrative efficiency, although challenges remain in certain areas. Most respondents rated the overall service delivery post-merger as good or excellent, with noticeable improvements in speed, quality, and customer support. However, accessibility to services was still a concern for some members, suggesting that further efforts are needed to improve this aspect. In terms of administrative efficiency, a majority observed significant improvements, but a small proportion reported no change or even a decline, highlighting the need for continued focus on streamlining operations. Digital services, including online portals and mobile apps, were positively received, with many members noticing improvements, though some experienced no change or deterioration. Customer support also saw improvements, but gaps in satisfaction remain, indicating the need for further attention to this area. Overall, the mergers have resulted in notable advancements in service delivery and efficiency, but addressing the remaining issues, particularly in accessibility and customer support, is essential to fully realize the benefits of the merger.</w:t>
      </w:r>
    </w:p>
    <w:p>
      <w:pPr>
        <w:pageBreakBefore w:val="0"/>
        <w:widowControl/>
        <w:kinsoku/>
        <w:wordWrap/>
        <w:overflowPunct/>
        <w:topLinePunct w:val="0"/>
        <w:autoSpaceDE/>
        <w:autoSpaceDN/>
        <w:bidi w:val="0"/>
        <w:adjustRightInd/>
        <w:snapToGrid/>
        <w:spacing w:before="240" w:after="0"/>
        <w:textAlignment w:val="auto"/>
        <w:outlineLvl w:val="1"/>
        <w:rPr>
          <w:rFonts w:eastAsia="SimSun"/>
          <w:b/>
          <w:bCs/>
          <w:szCs w:val="26"/>
        </w:rPr>
      </w:pPr>
      <w:bookmarkStart w:id="183" w:name="_Toc27235"/>
      <w:r>
        <w:rPr>
          <w:rFonts w:eastAsia="SimSun"/>
          <w:b/>
          <w:bCs/>
          <w:szCs w:val="26"/>
        </w:rPr>
        <w:t xml:space="preserve">5.2.3 </w:t>
      </w:r>
      <w:bookmarkEnd w:id="182"/>
      <w:r>
        <w:rPr>
          <w:rFonts w:eastAsia="SimSun"/>
          <w:b/>
          <w:bCs/>
          <w:szCs w:val="26"/>
        </w:rPr>
        <w:t>Factors Influencing the Effectiveness of the PSSSF</w:t>
      </w:r>
      <w:bookmarkEnd w:id="183"/>
    </w:p>
    <w:p>
      <w:pPr>
        <w:spacing w:before="240" w:after="200"/>
        <w:rPr>
          <w:rFonts w:eastAsia="SimSun" w:cs="Times New Roman"/>
          <w:szCs w:val="24"/>
        </w:rPr>
      </w:pPr>
      <w:r>
        <w:rPr>
          <w:rFonts w:eastAsia="SimSun" w:cs="Times New Roman"/>
          <w:szCs w:val="24"/>
        </w:rPr>
        <w:t>The study highlights several key factors influencing the effectiveness of the Public Service Social Security Fund (PSSSF) in enhancing welfare post-merger. These factors include governance, financial management, stakeholder engagement, and communication strategies, each playing a vital role in shaping public perception and organizational success. Governance was identified as the most significant factor, as it ensures accountability, transparency, and efficiency, which are crucial in building trust among members. Financial management followed closely, with respondents acknowledging its importance in ensuring effective resource allocation and long-term sustainability, especially during post-merger transitions. Stakeholder engagement emerged as another critical factor, facilitating continuous feedback and fostering a collaborative environment that enhances trust and satisfaction. Lastly, communication strategies were highlighted for their role in managing member expectations and promoting transparency, which is particularly important during periods of organizational change. Overall, these elements collectively contribute to the effectiveness of the PSSSF in delivering welfare improvements, though challenges remain in optimizing each area.</w:t>
      </w:r>
    </w:p>
    <w:p>
      <w:pPr>
        <w:pageBreakBefore w:val="0"/>
        <w:widowControl/>
        <w:kinsoku/>
        <w:wordWrap/>
        <w:overflowPunct/>
        <w:topLinePunct w:val="0"/>
        <w:autoSpaceDE/>
        <w:autoSpaceDN/>
        <w:bidi w:val="0"/>
        <w:adjustRightInd/>
        <w:snapToGrid/>
        <w:spacing w:before="240" w:after="0"/>
        <w:textAlignment w:val="auto"/>
        <w:outlineLvl w:val="1"/>
        <w:rPr>
          <w:rFonts w:eastAsia="SimSun"/>
          <w:b/>
          <w:bCs/>
          <w:szCs w:val="26"/>
        </w:rPr>
      </w:pPr>
      <w:bookmarkStart w:id="184" w:name="_Toc8709"/>
      <w:bookmarkStart w:id="185" w:name="_Toc181564489"/>
      <w:r>
        <w:rPr>
          <w:rFonts w:eastAsia="SimSun"/>
          <w:b/>
          <w:bCs/>
          <w:szCs w:val="26"/>
        </w:rPr>
        <w:t>5.3 Conclusion of the Study</w:t>
      </w:r>
      <w:bookmarkEnd w:id="184"/>
      <w:bookmarkEnd w:id="185"/>
    </w:p>
    <w:p>
      <w:pPr>
        <w:rPr>
          <w:rFonts w:eastAsia="SimSun" w:cs="Times New Roman"/>
          <w:szCs w:val="24"/>
        </w:rPr>
      </w:pPr>
      <w:r>
        <w:rPr>
          <w:rFonts w:eastAsia="SimSun" w:cs="Times New Roman"/>
          <w:szCs w:val="24"/>
        </w:rPr>
        <w:t xml:space="preserve">Based on the findings, it can be concluded that the Public Service Social Security Fund (PSSSF) has made notable progress in improving welfare benefits and service delivery following its mergers and acquisitions, though there remain areas for improvement. Public servants generally perceive the welfare benefits provided by the PSSSF post-merger positively, particularly in terms of speed and quality of service. However, challenges such as accessibility and customer support persist, indicating that while the organization has improved, there are still gaps in meeting member expectations. Changes in administrative efficiency were largely viewed positively, with most respondents observing significant improvements. Key factors influencing the effectiveness of PSSSF include strong governance, sound financial management, active stakeholder engagement, and clear communication strategies. These elements are critical for fostering trust and ensuring that post-merger improvements are sustained. Although the mergers have led to positive outcomes, continuous focus on addressing accessibility issues and enhancing customer support </w:t>
      </w:r>
      <w:r>
        <w:rPr>
          <w:rFonts w:eastAsia="SimSun" w:cs="Times New Roman"/>
          <w:szCs w:val="24"/>
          <w:lang w:val="en-US"/>
        </w:rPr>
        <w:t xml:space="preserve">was </w:t>
      </w:r>
      <w:r>
        <w:rPr>
          <w:rFonts w:eastAsia="SimSun" w:cs="Times New Roman"/>
          <w:szCs w:val="24"/>
        </w:rPr>
        <w:t xml:space="preserve"> necessary to fully capitalize on the benefits of the merger.</w:t>
      </w:r>
    </w:p>
    <w:p>
      <w:pPr>
        <w:pStyle w:val="3"/>
        <w:pageBreakBefore w:val="0"/>
        <w:widowControl/>
        <w:kinsoku/>
        <w:wordWrap/>
        <w:overflowPunct/>
        <w:topLinePunct w:val="0"/>
        <w:autoSpaceDE/>
        <w:autoSpaceDN/>
        <w:bidi w:val="0"/>
        <w:adjustRightInd/>
        <w:snapToGrid/>
        <w:spacing w:before="240" w:after="0"/>
        <w:textAlignment w:val="auto"/>
      </w:pPr>
      <w:bookmarkStart w:id="186" w:name="_Toc19727"/>
      <w:r>
        <w:t>5.4 Recommendations for Interventions</w:t>
      </w:r>
      <w:bookmarkEnd w:id="186"/>
    </w:p>
    <w:p>
      <w:r>
        <w:t xml:space="preserve">To improve the overall welfare benefits and service delivery, it is crucial for PSSSF to focus on </w:t>
      </w:r>
      <w:r>
        <w:rPr>
          <w:b/>
          <w:bCs/>
        </w:rPr>
        <w:t>enhancing accessibility and customer support</w:t>
      </w:r>
      <w:r>
        <w:t xml:space="preserve"> across its service platforms. Expanding access points, especially in underserved regions, and strengthening customer support systems </w:t>
      </w:r>
      <w:r>
        <w:rPr>
          <w:lang w:val="en-US"/>
        </w:rPr>
        <w:t xml:space="preserve">was  </w:t>
      </w:r>
      <w:r>
        <w:t xml:space="preserve"> address current challenges. This can include enhancing digital platforms for easy access, such as mobile applications or online services, and providing additional training for customer service personnel to improve responsiveness. Furthermore, </w:t>
      </w:r>
      <w:r>
        <w:rPr>
          <w:b/>
          <w:bCs/>
        </w:rPr>
        <w:t>strengthening governance and financial management</w:t>
      </w:r>
      <w:r>
        <w:t xml:space="preserve"> is essential for ensuring the stability and reliability of PSSSF. Transparency in governance and robust financial management </w:t>
      </w:r>
      <w:r>
        <w:rPr>
          <w:lang w:val="en-US"/>
        </w:rPr>
        <w:t xml:space="preserve">was  </w:t>
      </w:r>
      <w:r>
        <w:t xml:space="preserve"> build trust among members, ensuring the proper allocation of funds and sustainability of welfare services. Continuous oversight mechanisms, along with clear communication about financial decisions, should be emphasized to maintain high levels of confidence.</w:t>
      </w:r>
    </w:p>
    <w:p>
      <w:r>
        <w:t xml:space="preserve">In addition, </w:t>
      </w:r>
      <w:r>
        <w:rPr>
          <w:b/>
          <w:bCs/>
        </w:rPr>
        <w:t>improving stakeholder engagement</w:t>
      </w:r>
      <w:r>
        <w:t xml:space="preserve"> is vital for increasing public servants' participation and satisfaction with the PSSSF post-merger. By actively involving members in the decision-making process and creating regular channels for feedback, the PSSSF can ensure its actions align with the needs and expectations of its members. Such engagement would foster trust and a sense of ownership, making members more likely to support the organization’s initiatives. PSSSF could also consider establishing transparent forums for communication to enhance public trust, particularly in times of organizational transition or policy changes.</w:t>
      </w:r>
    </w:p>
    <w:p>
      <w:pPr>
        <w:pStyle w:val="3"/>
        <w:pageBreakBefore w:val="0"/>
        <w:widowControl/>
        <w:kinsoku/>
        <w:wordWrap/>
        <w:overflowPunct/>
        <w:topLinePunct w:val="0"/>
        <w:autoSpaceDE/>
        <w:autoSpaceDN/>
        <w:bidi w:val="0"/>
        <w:adjustRightInd/>
        <w:snapToGrid/>
        <w:spacing w:before="240" w:after="0"/>
        <w:textAlignment w:val="auto"/>
      </w:pPr>
      <w:bookmarkStart w:id="187" w:name="_Toc25042"/>
      <w:r>
        <w:t>5.5 Recommendations for Further Studies</w:t>
      </w:r>
      <w:bookmarkEnd w:id="187"/>
    </w:p>
    <w:p>
      <w:r>
        <w:t xml:space="preserve">Future research should explore the </w:t>
      </w:r>
      <w:r>
        <w:rPr>
          <w:b/>
          <w:bCs/>
        </w:rPr>
        <w:t>long-term effects of mergers on member satisfaction</w:t>
      </w:r>
      <w:r>
        <w:t xml:space="preserve"> to assess whether improvements in service delivery are sustained over time. A longitudinal study could track changes in member perceptions and experiences, providing valuable insights into the lasting impacts of mergers on public servants' welfare. Additionally, it would be beneficial to focus on the </w:t>
      </w:r>
      <w:r>
        <w:rPr>
          <w:b/>
          <w:bCs/>
        </w:rPr>
        <w:t>impact of digital platforms on service delivery</w:t>
      </w:r>
      <w:r>
        <w:t>. Investigating how digital tools such as mobile apps, online platforms, and automated systems enhance access and efficiency could provide practical recommendations for integrating technology in welfare systems, ensuring they meet the demands of modern service users.</w:t>
      </w:r>
    </w:p>
    <w:p>
      <w:r>
        <w:t xml:space="preserve">Lastly, </w:t>
      </w:r>
      <w:r>
        <w:rPr>
          <w:b/>
          <w:bCs/>
        </w:rPr>
        <w:t>comparative studies</w:t>
      </w:r>
      <w:r>
        <w:t xml:space="preserve"> between the PSSSF and other merged social security funds could uncover best practices in governance, financial management, and stakeholder engagement. Such studies could offer an opportunity to learn from successful models in other countries or regions, potentially informing the PSSSF's strategies for continuous improvement. By examining other pension schemes and welfare organizations that have gone through similar transitions, valuable lessons can be learned to optimize PSSSF’s performance and strengthen its post-merger effectiveness.</w:t>
      </w:r>
    </w:p>
    <w:p>
      <w:pPr>
        <w:sectPr>
          <w:pgSz w:w="12240" w:h="15840"/>
          <w:pgMar w:top="1440" w:right="1800" w:bottom="1440" w:left="1800" w:header="720" w:footer="720" w:gutter="0"/>
          <w:cols w:space="720" w:num="1"/>
          <w:docGrid w:linePitch="360" w:charSpace="0"/>
        </w:sectPr>
      </w:pPr>
    </w:p>
    <w:p>
      <w:pPr>
        <w:pStyle w:val="2"/>
      </w:pPr>
      <w:bookmarkStart w:id="188" w:name="_Toc32467"/>
      <w:r>
        <w:t>REFERENCES</w:t>
      </w:r>
      <w:bookmarkEnd w:id="188"/>
    </w:p>
    <w:p>
      <w:pPr>
        <w:spacing w:before="0"/>
        <w:ind w:left="720" w:hanging="720"/>
        <w:rPr>
          <w:sz w:val="24"/>
          <w:szCs w:val="24"/>
        </w:rPr>
      </w:pPr>
      <w:r>
        <w:rPr>
          <w:sz w:val="24"/>
          <w:szCs w:val="24"/>
        </w:rPr>
        <w:t>Almas, A. A. (2019). </w:t>
      </w:r>
      <w:r>
        <w:rPr>
          <w:i/>
          <w:iCs/>
          <w:sz w:val="24"/>
          <w:szCs w:val="24"/>
        </w:rPr>
        <w:t>Potential Impacts of Merging Social Security Funds: A case of National Social Security Fund (NSSF) in Dar es Salaam Region, Tanzania</w:t>
      </w:r>
      <w:r>
        <w:rPr>
          <w:sz w:val="24"/>
          <w:szCs w:val="24"/>
        </w:rPr>
        <w:t> (Doctoral dissertation, The Open University of Tanzania).</w:t>
      </w:r>
    </w:p>
    <w:p>
      <w:pPr>
        <w:spacing w:before="0"/>
        <w:ind w:left="720" w:hanging="720"/>
        <w:rPr>
          <w:sz w:val="24"/>
          <w:szCs w:val="24"/>
        </w:rPr>
      </w:pPr>
      <w:r>
        <w:rPr>
          <w:sz w:val="24"/>
          <w:szCs w:val="24"/>
        </w:rPr>
        <w:t>Angwin, D. (Ed.). (20</w:t>
      </w:r>
      <w:r>
        <w:rPr>
          <w:rFonts w:hint="default"/>
          <w:sz w:val="24"/>
          <w:szCs w:val="24"/>
          <w:lang w:val="en-US"/>
        </w:rPr>
        <w:t>1</w:t>
      </w:r>
      <w:r>
        <w:rPr>
          <w:sz w:val="24"/>
          <w:szCs w:val="24"/>
        </w:rPr>
        <w:t>7). </w:t>
      </w:r>
      <w:r>
        <w:rPr>
          <w:i/>
          <w:iCs/>
          <w:sz w:val="24"/>
          <w:szCs w:val="24"/>
        </w:rPr>
        <w:t>Mergers and acquisitions</w:t>
      </w:r>
      <w:r>
        <w:rPr>
          <w:sz w:val="24"/>
          <w:szCs w:val="24"/>
        </w:rPr>
        <w:t>. John Wiley &amp; Sons.</w:t>
      </w:r>
    </w:p>
    <w:p>
      <w:pPr>
        <w:spacing w:before="0"/>
        <w:ind w:left="720" w:hanging="720"/>
        <w:rPr>
          <w:sz w:val="24"/>
          <w:szCs w:val="24"/>
        </w:rPr>
      </w:pPr>
      <w:r>
        <w:rPr>
          <w:sz w:val="24"/>
          <w:szCs w:val="24"/>
        </w:rPr>
        <w:t>Angwin, D. N. (20</w:t>
      </w:r>
      <w:r>
        <w:rPr>
          <w:rFonts w:hint="default"/>
          <w:sz w:val="24"/>
          <w:szCs w:val="24"/>
          <w:lang w:val="en-US"/>
        </w:rPr>
        <w:t>2</w:t>
      </w:r>
      <w:r>
        <w:rPr>
          <w:sz w:val="24"/>
          <w:szCs w:val="24"/>
        </w:rPr>
        <w:t>7). Customer engagement in mergers and acquisitions: A conceptual framework. Journal of Marketing Management, 23(1-2), 113-136.</w:t>
      </w:r>
    </w:p>
    <w:p>
      <w:pPr>
        <w:spacing w:before="0"/>
        <w:ind w:left="720" w:hanging="720"/>
        <w:rPr>
          <w:sz w:val="24"/>
          <w:szCs w:val="24"/>
        </w:rPr>
      </w:pPr>
      <w:r>
        <w:rPr>
          <w:sz w:val="24"/>
          <w:szCs w:val="24"/>
        </w:rPr>
        <w:t>Angwin, D. N., Money, A. H., &amp; Patterson, P. G. (2016). Customer engagement in business-to-business service mergers and acquisitions. Journal of Business &amp; Industrial Marketing, 31(2), 220-232.</w:t>
      </w:r>
    </w:p>
    <w:p>
      <w:pPr>
        <w:spacing w:before="0"/>
        <w:ind w:left="720" w:hanging="720"/>
        <w:rPr>
          <w:sz w:val="24"/>
          <w:szCs w:val="24"/>
        </w:rPr>
      </w:pPr>
      <w:r>
        <w:rPr>
          <w:sz w:val="24"/>
          <w:szCs w:val="24"/>
        </w:rPr>
        <w:t>Angwin, D. N., Money, A. H., &amp; Patterson, P. G. (2016). Customer engagement in business-to-business service mergers and acquisitions. Journal of Business &amp; Industrial Marketing, 31(2), 220-232.</w:t>
      </w:r>
    </w:p>
    <w:p>
      <w:pPr>
        <w:spacing w:before="0"/>
        <w:ind w:left="720" w:hanging="720"/>
        <w:rPr>
          <w:sz w:val="24"/>
          <w:szCs w:val="24"/>
        </w:rPr>
      </w:pPr>
      <w:r>
        <w:rPr>
          <w:sz w:val="24"/>
          <w:szCs w:val="24"/>
        </w:rPr>
        <w:t xml:space="preserve">Angwin, D., Chavez, E., &amp;Swaen, V. (2016). Mergers and acquisitions in the public sector: A review of the research. Public Administration Review, 76(2), 222-234. </w:t>
      </w:r>
    </w:p>
    <w:p>
      <w:pPr>
        <w:spacing w:before="0"/>
        <w:ind w:left="720" w:hanging="720"/>
        <w:rPr>
          <w:sz w:val="24"/>
          <w:szCs w:val="24"/>
        </w:rPr>
      </w:pPr>
      <w:r>
        <w:rPr>
          <w:sz w:val="24"/>
          <w:szCs w:val="24"/>
        </w:rPr>
        <w:t>Arthur, M. B., Belcourt, M. M., &amp;Westman, M. (20</w:t>
      </w:r>
      <w:r>
        <w:rPr>
          <w:rFonts w:hint="default"/>
          <w:sz w:val="24"/>
          <w:szCs w:val="24"/>
          <w:lang w:val="en-US"/>
        </w:rPr>
        <w:t>1</w:t>
      </w:r>
      <w:r>
        <w:rPr>
          <w:sz w:val="24"/>
          <w:szCs w:val="24"/>
        </w:rPr>
        <w:t>7). The effects of human resource systems on employee engagement. Human Resource Management Journal, 17(1), 14-31.</w:t>
      </w:r>
    </w:p>
    <w:p>
      <w:pPr>
        <w:spacing w:before="0"/>
        <w:ind w:left="720" w:hanging="720"/>
        <w:rPr>
          <w:sz w:val="24"/>
          <w:szCs w:val="24"/>
        </w:rPr>
      </w:pPr>
      <w:r>
        <w:rPr>
          <w:sz w:val="24"/>
          <w:szCs w:val="24"/>
        </w:rPr>
        <w:t>Besley, T., &amp; Matheson, T. (20</w:t>
      </w:r>
      <w:r>
        <w:rPr>
          <w:rFonts w:hint="default"/>
          <w:sz w:val="24"/>
          <w:szCs w:val="24"/>
          <w:lang w:val="en-US"/>
        </w:rPr>
        <w:t>1</w:t>
      </w:r>
      <w:r>
        <w:rPr>
          <w:sz w:val="24"/>
          <w:szCs w:val="24"/>
        </w:rPr>
        <w:t>8). Mergers and acquisitions. In S. N. Durlauf&amp; L. E. Blume (Eds.), the new Palgrave dictionary of economics (2nd ed., pp. 3445-3448). Palgrave Macmillan.</w:t>
      </w:r>
    </w:p>
    <w:p>
      <w:pPr>
        <w:spacing w:before="0"/>
        <w:ind w:left="720" w:hanging="720"/>
        <w:rPr>
          <w:sz w:val="24"/>
          <w:szCs w:val="24"/>
        </w:rPr>
      </w:pPr>
      <w:r>
        <w:rPr>
          <w:sz w:val="24"/>
          <w:szCs w:val="24"/>
        </w:rPr>
        <w:t>Blau, P. M. (</w:t>
      </w:r>
      <w:r>
        <w:rPr>
          <w:rFonts w:hint="default"/>
          <w:sz w:val="24"/>
          <w:szCs w:val="24"/>
          <w:lang w:val="en-US"/>
        </w:rPr>
        <w:t>2019</w:t>
      </w:r>
      <w:r>
        <w:rPr>
          <w:sz w:val="24"/>
          <w:szCs w:val="24"/>
        </w:rPr>
        <w:t>). Exchange and power in social life. John Wiley &amp; Sons.</w:t>
      </w:r>
    </w:p>
    <w:p>
      <w:pPr>
        <w:spacing w:before="0"/>
        <w:ind w:left="720" w:hanging="720"/>
        <w:rPr>
          <w:sz w:val="24"/>
          <w:szCs w:val="24"/>
        </w:rPr>
      </w:pPr>
      <w:r>
        <w:rPr>
          <w:sz w:val="24"/>
          <w:szCs w:val="24"/>
        </w:rPr>
        <w:t>Börjeson, M., &amp;Pettersson, A. (20</w:t>
      </w:r>
      <w:r>
        <w:rPr>
          <w:rFonts w:hint="default"/>
          <w:sz w:val="24"/>
          <w:szCs w:val="24"/>
          <w:lang w:val="en-US"/>
        </w:rPr>
        <w:t>2</w:t>
      </w:r>
      <w:r>
        <w:rPr>
          <w:sz w:val="24"/>
          <w:szCs w:val="24"/>
        </w:rPr>
        <w:t>0). Mergers &amp; Acquisitions, the quest for the missing piece: Exploring customer relationship development in M&amp;As.</w:t>
      </w:r>
    </w:p>
    <w:p>
      <w:pPr>
        <w:spacing w:before="0"/>
        <w:ind w:left="720" w:hanging="720"/>
        <w:rPr>
          <w:sz w:val="24"/>
          <w:szCs w:val="24"/>
        </w:rPr>
      </w:pPr>
      <w:r>
        <w:rPr>
          <w:sz w:val="24"/>
          <w:szCs w:val="24"/>
        </w:rPr>
        <w:t>Brewer, P., &amp; Holmes, M. (2021). Customer service: Principles and practice (12th Ed.). McGraw-Hill Education.</w:t>
      </w:r>
    </w:p>
    <w:p>
      <w:pPr>
        <w:spacing w:before="0"/>
        <w:ind w:left="720" w:hanging="720"/>
        <w:rPr>
          <w:sz w:val="24"/>
          <w:szCs w:val="24"/>
        </w:rPr>
      </w:pPr>
      <w:r>
        <w:rPr>
          <w:sz w:val="24"/>
          <w:szCs w:val="24"/>
        </w:rPr>
        <w:t>Bryman, A. (2018). Social research methods (5th ed.). Oxford University Press.</w:t>
      </w:r>
    </w:p>
    <w:p>
      <w:pPr>
        <w:spacing w:before="0"/>
        <w:ind w:left="720" w:hanging="720"/>
        <w:rPr>
          <w:sz w:val="24"/>
          <w:szCs w:val="24"/>
        </w:rPr>
      </w:pPr>
      <w:r>
        <w:rPr>
          <w:sz w:val="24"/>
          <w:szCs w:val="24"/>
        </w:rPr>
        <w:t>Bryson, J. M. (2015). Strategic planning for public and nonprofit organizations: A guide to strengthening and sustaining organizational achievement (5th ed.). Jossey-Bass.</w:t>
      </w:r>
    </w:p>
    <w:p>
      <w:pPr>
        <w:spacing w:before="0"/>
        <w:ind w:left="720" w:hanging="720"/>
        <w:rPr>
          <w:sz w:val="24"/>
          <w:szCs w:val="24"/>
        </w:rPr>
      </w:pPr>
      <w:r>
        <w:rPr>
          <w:sz w:val="24"/>
          <w:szCs w:val="24"/>
        </w:rPr>
        <w:t>Carbonara, G., &amp;Caiazza, R. (20</w:t>
      </w:r>
      <w:r>
        <w:rPr>
          <w:rFonts w:hint="default"/>
          <w:sz w:val="24"/>
          <w:szCs w:val="24"/>
          <w:lang w:val="en-US"/>
        </w:rPr>
        <w:t>1</w:t>
      </w:r>
      <w:r>
        <w:rPr>
          <w:sz w:val="24"/>
          <w:szCs w:val="24"/>
        </w:rPr>
        <w:t>9). Mergers and acquisitions: Causes and effects. </w:t>
      </w:r>
      <w:r>
        <w:rPr>
          <w:i/>
          <w:iCs/>
          <w:sz w:val="24"/>
          <w:szCs w:val="24"/>
        </w:rPr>
        <w:t>The Journal of American Academy of Business, Cambridge</w:t>
      </w:r>
      <w:r>
        <w:rPr>
          <w:sz w:val="24"/>
          <w:szCs w:val="24"/>
        </w:rPr>
        <w:t>, </w:t>
      </w:r>
      <w:r>
        <w:rPr>
          <w:i/>
          <w:iCs/>
          <w:sz w:val="24"/>
          <w:szCs w:val="24"/>
        </w:rPr>
        <w:t>14</w:t>
      </w:r>
      <w:r>
        <w:rPr>
          <w:sz w:val="24"/>
          <w:szCs w:val="24"/>
        </w:rPr>
        <w:t>(2), 188-194.</w:t>
      </w:r>
    </w:p>
    <w:p>
      <w:pPr>
        <w:spacing w:before="0"/>
        <w:ind w:left="720" w:hanging="720"/>
        <w:rPr>
          <w:sz w:val="24"/>
          <w:szCs w:val="24"/>
        </w:rPr>
      </w:pPr>
      <w:r>
        <w:rPr>
          <w:sz w:val="24"/>
          <w:szCs w:val="24"/>
        </w:rPr>
        <w:t>Cartwright, S., &amp; Scholl, R. (2009). Managing cultural differences in mergers and acquisitions. Academy of Management Perspectives, 23(2), 72-90.</w:t>
      </w:r>
    </w:p>
    <w:p>
      <w:pPr>
        <w:spacing w:before="0"/>
        <w:ind w:left="720" w:hanging="720"/>
        <w:rPr>
          <w:sz w:val="24"/>
          <w:szCs w:val="24"/>
        </w:rPr>
      </w:pPr>
      <w:r>
        <w:rPr>
          <w:sz w:val="24"/>
          <w:szCs w:val="24"/>
        </w:rPr>
        <w:t>Chen, C., &amp; Findlay, C. (20</w:t>
      </w:r>
      <w:r>
        <w:rPr>
          <w:rFonts w:hint="default"/>
          <w:sz w:val="24"/>
          <w:szCs w:val="24"/>
          <w:lang w:val="en-US"/>
        </w:rPr>
        <w:t>2</w:t>
      </w:r>
      <w:r>
        <w:rPr>
          <w:sz w:val="24"/>
          <w:szCs w:val="24"/>
        </w:rPr>
        <w:t>3). A Review of Cross‐border Mergers and Acquisitions in APEC. </w:t>
      </w:r>
      <w:r>
        <w:rPr>
          <w:i/>
          <w:iCs/>
          <w:sz w:val="24"/>
          <w:szCs w:val="24"/>
        </w:rPr>
        <w:t>Asian‐Pacific Economic Literature</w:t>
      </w:r>
      <w:r>
        <w:rPr>
          <w:sz w:val="24"/>
          <w:szCs w:val="24"/>
        </w:rPr>
        <w:t>, </w:t>
      </w:r>
      <w:r>
        <w:rPr>
          <w:i/>
          <w:iCs/>
          <w:sz w:val="24"/>
          <w:szCs w:val="24"/>
        </w:rPr>
        <w:t>17</w:t>
      </w:r>
      <w:r>
        <w:rPr>
          <w:sz w:val="24"/>
          <w:szCs w:val="24"/>
        </w:rPr>
        <w:t>(2), 14-38.</w:t>
      </w:r>
    </w:p>
    <w:p>
      <w:pPr>
        <w:spacing w:before="0"/>
        <w:ind w:left="720" w:hanging="720"/>
        <w:rPr>
          <w:sz w:val="24"/>
          <w:szCs w:val="24"/>
        </w:rPr>
      </w:pPr>
      <w:r>
        <w:rPr>
          <w:sz w:val="24"/>
          <w:szCs w:val="24"/>
        </w:rPr>
        <w:t>Ciobanu, R. (2015). Mergers and acquisitions: does the legal origin matter? </w:t>
      </w:r>
      <w:r>
        <w:rPr>
          <w:i/>
          <w:iCs/>
          <w:sz w:val="24"/>
          <w:szCs w:val="24"/>
        </w:rPr>
        <w:t>Procedia Economics and Finance</w:t>
      </w:r>
      <w:r>
        <w:rPr>
          <w:sz w:val="24"/>
          <w:szCs w:val="24"/>
        </w:rPr>
        <w:t>, </w:t>
      </w:r>
      <w:r>
        <w:rPr>
          <w:i/>
          <w:iCs/>
          <w:sz w:val="24"/>
          <w:szCs w:val="24"/>
        </w:rPr>
        <w:t>32</w:t>
      </w:r>
      <w:r>
        <w:rPr>
          <w:sz w:val="24"/>
          <w:szCs w:val="24"/>
        </w:rPr>
        <w:t>, 1236-1247.</w:t>
      </w:r>
    </w:p>
    <w:p>
      <w:pPr>
        <w:spacing w:before="0"/>
        <w:ind w:left="720" w:hanging="720"/>
        <w:rPr>
          <w:sz w:val="24"/>
          <w:szCs w:val="24"/>
        </w:rPr>
      </w:pPr>
      <w:r>
        <w:rPr>
          <w:sz w:val="24"/>
          <w:szCs w:val="24"/>
        </w:rPr>
        <w:t>Creswell, J. W., &amp; Plano Clark, V. L. (2018). Designing and conducting mixed methods research (3rd ed.). Sage Publications.</w:t>
      </w:r>
    </w:p>
    <w:p>
      <w:pPr>
        <w:spacing w:before="0"/>
        <w:ind w:left="720" w:hanging="720"/>
        <w:rPr>
          <w:sz w:val="24"/>
          <w:szCs w:val="24"/>
        </w:rPr>
      </w:pPr>
      <w:r>
        <w:rPr>
          <w:sz w:val="24"/>
          <w:szCs w:val="24"/>
        </w:rPr>
        <w:t xml:space="preserve">Cronin, J. J., &amp; Brady, M. K. (2016). Service quality, satisfaction, and behavioral intentions in a transactional services context: The role of perceived risk. Journal of Service Research, 19(1), 1-20. </w:t>
      </w:r>
    </w:p>
    <w:p>
      <w:pPr>
        <w:spacing w:before="0"/>
        <w:ind w:left="720" w:hanging="720"/>
        <w:rPr>
          <w:sz w:val="24"/>
          <w:szCs w:val="24"/>
        </w:rPr>
      </w:pPr>
      <w:r>
        <w:rPr>
          <w:sz w:val="24"/>
          <w:szCs w:val="24"/>
        </w:rPr>
        <w:t>Daniel, T. A., &amp; Metcalf, G. (20</w:t>
      </w:r>
      <w:r>
        <w:rPr>
          <w:rFonts w:hint="default"/>
          <w:sz w:val="24"/>
          <w:szCs w:val="24"/>
          <w:lang w:val="en-US"/>
        </w:rPr>
        <w:t>2</w:t>
      </w:r>
      <w:r>
        <w:rPr>
          <w:sz w:val="24"/>
          <w:szCs w:val="24"/>
        </w:rPr>
        <w:t>1). </w:t>
      </w:r>
      <w:r>
        <w:rPr>
          <w:i/>
          <w:iCs/>
          <w:sz w:val="24"/>
          <w:szCs w:val="24"/>
        </w:rPr>
        <w:t>The management of people in mergers and acquisitions</w:t>
      </w:r>
      <w:r>
        <w:rPr>
          <w:sz w:val="24"/>
          <w:szCs w:val="24"/>
        </w:rPr>
        <w:t>. Bloomsbury Publishing USA.</w:t>
      </w:r>
    </w:p>
    <w:p>
      <w:pPr>
        <w:spacing w:before="0"/>
        <w:ind w:left="720" w:hanging="720"/>
        <w:rPr>
          <w:sz w:val="24"/>
          <w:szCs w:val="24"/>
        </w:rPr>
      </w:pPr>
      <w:r>
        <w:rPr>
          <w:sz w:val="24"/>
          <w:szCs w:val="24"/>
        </w:rPr>
        <w:t>Degbey, W. Y., &amp;Pelto, E. (2021). Customer knowledge sharing in cross-border mergers and acquisitions: The role of customer motivation and promise management. </w:t>
      </w:r>
      <w:r>
        <w:rPr>
          <w:i/>
          <w:iCs/>
          <w:sz w:val="24"/>
          <w:szCs w:val="24"/>
        </w:rPr>
        <w:t>Journal of International Management</w:t>
      </w:r>
      <w:r>
        <w:rPr>
          <w:sz w:val="24"/>
          <w:szCs w:val="24"/>
        </w:rPr>
        <w:t>, </w:t>
      </w:r>
      <w:r>
        <w:rPr>
          <w:i/>
          <w:iCs/>
          <w:sz w:val="24"/>
          <w:szCs w:val="24"/>
        </w:rPr>
        <w:t>27</w:t>
      </w:r>
      <w:r>
        <w:rPr>
          <w:sz w:val="24"/>
          <w:szCs w:val="24"/>
        </w:rPr>
        <w:t>(4), 100858.</w:t>
      </w:r>
    </w:p>
    <w:p>
      <w:pPr>
        <w:spacing w:before="0"/>
        <w:ind w:left="720" w:hanging="720"/>
        <w:rPr>
          <w:sz w:val="24"/>
          <w:szCs w:val="24"/>
        </w:rPr>
      </w:pPr>
      <w:r>
        <w:rPr>
          <w:sz w:val="24"/>
          <w:szCs w:val="24"/>
        </w:rPr>
        <w:t>Delisi, P. S., &amp;Michaeli, M. (2021). Customer service excellence and innovation in the digital age. Routledge.</w:t>
      </w:r>
    </w:p>
    <w:p>
      <w:pPr>
        <w:spacing w:before="0"/>
        <w:ind w:left="720" w:hanging="720"/>
        <w:rPr>
          <w:sz w:val="24"/>
          <w:szCs w:val="24"/>
        </w:rPr>
      </w:pPr>
      <w:r>
        <w:rPr>
          <w:sz w:val="24"/>
          <w:szCs w:val="24"/>
        </w:rPr>
        <w:t>DePamphilis, D. (2010). </w:t>
      </w:r>
      <w:r>
        <w:rPr>
          <w:i/>
          <w:iCs/>
          <w:sz w:val="24"/>
          <w:szCs w:val="24"/>
        </w:rPr>
        <w:t>Mergers and acquisitions basics: all you need to know</w:t>
      </w:r>
      <w:r>
        <w:rPr>
          <w:sz w:val="24"/>
          <w:szCs w:val="24"/>
        </w:rPr>
        <w:t>. Academic Press.</w:t>
      </w:r>
    </w:p>
    <w:p>
      <w:pPr>
        <w:spacing w:before="0"/>
        <w:ind w:left="720" w:hanging="720"/>
        <w:rPr>
          <w:sz w:val="24"/>
          <w:szCs w:val="24"/>
        </w:rPr>
      </w:pPr>
      <w:r>
        <w:rPr>
          <w:sz w:val="24"/>
          <w:szCs w:val="24"/>
        </w:rPr>
        <w:t>Dong, Y., Li, C., &amp; Li, H. (2021). Customer concentration and M&amp;A performance. </w:t>
      </w:r>
      <w:r>
        <w:rPr>
          <w:i/>
          <w:iCs/>
          <w:sz w:val="24"/>
          <w:szCs w:val="24"/>
        </w:rPr>
        <w:t>Journal of Corporate Finance</w:t>
      </w:r>
      <w:r>
        <w:rPr>
          <w:sz w:val="24"/>
          <w:szCs w:val="24"/>
        </w:rPr>
        <w:t>, </w:t>
      </w:r>
      <w:r>
        <w:rPr>
          <w:i/>
          <w:iCs/>
          <w:sz w:val="24"/>
          <w:szCs w:val="24"/>
        </w:rPr>
        <w:t>69</w:t>
      </w:r>
      <w:r>
        <w:rPr>
          <w:sz w:val="24"/>
          <w:szCs w:val="24"/>
        </w:rPr>
        <w:t>, 102021.</w:t>
      </w:r>
    </w:p>
    <w:p>
      <w:pPr>
        <w:spacing w:before="0"/>
        <w:ind w:left="720" w:hanging="720"/>
        <w:rPr>
          <w:sz w:val="24"/>
          <w:szCs w:val="24"/>
        </w:rPr>
      </w:pPr>
      <w:r>
        <w:rPr>
          <w:sz w:val="24"/>
          <w:szCs w:val="24"/>
        </w:rPr>
        <w:t>Dorling, S., (201</w:t>
      </w:r>
      <w:r>
        <w:rPr>
          <w:rFonts w:hint="default"/>
          <w:sz w:val="24"/>
          <w:szCs w:val="24"/>
          <w:lang w:val="en-US"/>
        </w:rPr>
        <w:t>8</w:t>
      </w:r>
      <w:r>
        <w:rPr>
          <w:sz w:val="24"/>
          <w:szCs w:val="24"/>
        </w:rPr>
        <w:t xml:space="preserve">). Customer service theory. Houston chronicle. Article from: Converge Consulting: A Higher Education Magazine. USA. </w:t>
      </w:r>
    </w:p>
    <w:p>
      <w:pPr>
        <w:spacing w:before="0"/>
        <w:ind w:left="720" w:hanging="720"/>
        <w:rPr>
          <w:sz w:val="24"/>
          <w:szCs w:val="24"/>
        </w:rPr>
      </w:pPr>
      <w:r>
        <w:rPr>
          <w:sz w:val="24"/>
          <w:szCs w:val="24"/>
        </w:rPr>
        <w:t>Faulkner, D., Teerikangas, S., &amp; Joseph, R. J. (Eds.). (20</w:t>
      </w:r>
      <w:r>
        <w:rPr>
          <w:rFonts w:hint="default"/>
          <w:sz w:val="24"/>
          <w:szCs w:val="24"/>
          <w:lang w:val="en-US"/>
        </w:rPr>
        <w:t>2</w:t>
      </w:r>
      <w:r>
        <w:rPr>
          <w:sz w:val="24"/>
          <w:szCs w:val="24"/>
        </w:rPr>
        <w:t>2). The handbook of mergers and acquisitions (Vol. 18). Oxford University Press, USA.</w:t>
      </w:r>
    </w:p>
    <w:p>
      <w:pPr>
        <w:spacing w:before="0"/>
        <w:ind w:left="720" w:hanging="720"/>
        <w:rPr>
          <w:sz w:val="24"/>
          <w:szCs w:val="24"/>
        </w:rPr>
      </w:pPr>
      <w:r>
        <w:rPr>
          <w:sz w:val="24"/>
          <w:szCs w:val="24"/>
        </w:rPr>
        <w:t>Fogli, L. (20</w:t>
      </w:r>
      <w:r>
        <w:rPr>
          <w:rFonts w:hint="default"/>
          <w:sz w:val="24"/>
          <w:szCs w:val="24"/>
          <w:lang w:val="en-US"/>
        </w:rPr>
        <w:t>1</w:t>
      </w:r>
      <w:r>
        <w:rPr>
          <w:sz w:val="24"/>
          <w:szCs w:val="24"/>
        </w:rPr>
        <w:t>6). Customer Service Delivery: Research and Best Practices. In: Customer Service Delivery: Research and Best Practices. San Fransisco: Jossey-Bass.</w:t>
      </w:r>
    </w:p>
    <w:p>
      <w:pPr>
        <w:spacing w:before="0"/>
        <w:ind w:left="720" w:hanging="720"/>
        <w:rPr>
          <w:sz w:val="24"/>
          <w:szCs w:val="24"/>
        </w:rPr>
      </w:pPr>
      <w:r>
        <w:rPr>
          <w:sz w:val="24"/>
          <w:szCs w:val="24"/>
        </w:rPr>
        <w:t>Freeman, R. E. (1984). Strategic Management: A Stakeholder Approach. Pitman Publishing.</w:t>
      </w:r>
    </w:p>
    <w:p>
      <w:pPr>
        <w:spacing w:before="0"/>
        <w:ind w:left="720" w:hanging="720"/>
        <w:rPr>
          <w:sz w:val="24"/>
          <w:szCs w:val="24"/>
        </w:rPr>
      </w:pPr>
      <w:r>
        <w:rPr>
          <w:sz w:val="24"/>
          <w:szCs w:val="24"/>
        </w:rPr>
        <w:t>Ghauri, P. N., &amp; Buckley, P. J. (2003). International mergers and acquisitions: Past, present and future. In </w:t>
      </w:r>
      <w:r>
        <w:rPr>
          <w:i/>
          <w:iCs/>
          <w:sz w:val="24"/>
          <w:szCs w:val="24"/>
        </w:rPr>
        <w:t>Advances in mergers and acquisitions</w:t>
      </w:r>
      <w:r>
        <w:rPr>
          <w:sz w:val="24"/>
          <w:szCs w:val="24"/>
        </w:rPr>
        <w:t> (pp. 207-229). Emerald Group Publishing Limited.</w:t>
      </w:r>
    </w:p>
    <w:p>
      <w:pPr>
        <w:spacing w:before="0"/>
        <w:ind w:left="720" w:hanging="720"/>
        <w:rPr>
          <w:sz w:val="24"/>
          <w:szCs w:val="24"/>
        </w:rPr>
      </w:pPr>
      <w:r>
        <w:rPr>
          <w:sz w:val="24"/>
          <w:szCs w:val="24"/>
        </w:rPr>
        <w:t>Ghauri, P., &amp; Hassan, I. (Eds.). (2014). </w:t>
      </w:r>
      <w:r>
        <w:rPr>
          <w:i/>
          <w:iCs/>
          <w:sz w:val="24"/>
          <w:szCs w:val="24"/>
        </w:rPr>
        <w:t>Evaluating companies for mergers and acquisitions</w:t>
      </w:r>
      <w:r>
        <w:rPr>
          <w:sz w:val="24"/>
          <w:szCs w:val="24"/>
        </w:rPr>
        <w:t>. Emerald Group Publishing.</w:t>
      </w:r>
    </w:p>
    <w:p>
      <w:pPr>
        <w:spacing w:before="0"/>
        <w:ind w:left="720" w:hanging="720"/>
        <w:rPr>
          <w:sz w:val="24"/>
          <w:szCs w:val="24"/>
        </w:rPr>
      </w:pPr>
      <w:r>
        <w:rPr>
          <w:sz w:val="24"/>
          <w:szCs w:val="24"/>
        </w:rPr>
        <w:t>Ghosh, S., &amp; Dutta, S. (2016). Mergers and acquisitions: A comparative review of literature. </w:t>
      </w:r>
      <w:r>
        <w:rPr>
          <w:i/>
          <w:iCs/>
          <w:sz w:val="24"/>
          <w:szCs w:val="24"/>
        </w:rPr>
        <w:t>Industrija</w:t>
      </w:r>
      <w:r>
        <w:rPr>
          <w:sz w:val="24"/>
          <w:szCs w:val="24"/>
        </w:rPr>
        <w:t>, </w:t>
      </w:r>
      <w:r>
        <w:rPr>
          <w:i/>
          <w:iCs/>
          <w:sz w:val="24"/>
          <w:szCs w:val="24"/>
        </w:rPr>
        <w:t>44</w:t>
      </w:r>
      <w:r>
        <w:rPr>
          <w:sz w:val="24"/>
          <w:szCs w:val="24"/>
        </w:rPr>
        <w:t>(1), 187-208</w:t>
      </w:r>
    </w:p>
    <w:p>
      <w:pPr>
        <w:spacing w:before="0"/>
        <w:ind w:left="720" w:hanging="720"/>
        <w:rPr>
          <w:sz w:val="24"/>
          <w:szCs w:val="24"/>
        </w:rPr>
      </w:pPr>
      <w:r>
        <w:rPr>
          <w:sz w:val="24"/>
          <w:szCs w:val="24"/>
        </w:rPr>
        <w:t xml:space="preserve">Gopal, R., Singh, V. &amp; Aggarwal, A. (2021) Impact of online classes on the satisfaction and performance of students during the pandemic period of COVID 19. EducInfTechnol 26, 6923–6947 (2021). </w:t>
      </w:r>
    </w:p>
    <w:p>
      <w:pPr>
        <w:spacing w:before="0"/>
        <w:ind w:left="720" w:hanging="720"/>
        <w:rPr>
          <w:sz w:val="24"/>
          <w:szCs w:val="24"/>
        </w:rPr>
      </w:pPr>
      <w:r>
        <w:rPr>
          <w:sz w:val="24"/>
          <w:szCs w:val="24"/>
        </w:rPr>
        <w:t>Grave, K., Vardiabasis, D., &amp;Yavas, B. (2012). The global financial crisis and M&amp;A. </w:t>
      </w:r>
      <w:r>
        <w:rPr>
          <w:i/>
          <w:iCs/>
          <w:sz w:val="24"/>
          <w:szCs w:val="24"/>
        </w:rPr>
        <w:t>International Journal of Business and Management</w:t>
      </w:r>
      <w:r>
        <w:rPr>
          <w:sz w:val="24"/>
          <w:szCs w:val="24"/>
        </w:rPr>
        <w:t>, </w:t>
      </w:r>
      <w:r>
        <w:rPr>
          <w:i/>
          <w:iCs/>
          <w:sz w:val="24"/>
          <w:szCs w:val="24"/>
        </w:rPr>
        <w:t>7</w:t>
      </w:r>
      <w:r>
        <w:rPr>
          <w:sz w:val="24"/>
          <w:szCs w:val="24"/>
        </w:rPr>
        <w:t>(11), 56.</w:t>
      </w:r>
    </w:p>
    <w:p>
      <w:pPr>
        <w:spacing w:before="0"/>
        <w:ind w:left="720" w:hanging="720"/>
        <w:rPr>
          <w:sz w:val="24"/>
          <w:szCs w:val="24"/>
        </w:rPr>
      </w:pPr>
      <w:r>
        <w:rPr>
          <w:sz w:val="24"/>
          <w:szCs w:val="24"/>
        </w:rPr>
        <w:t>Grönroos, C. (2017). Service management and marketing: A customer relationship management approach (7th ed.). John Wiley &amp; Sons.</w:t>
      </w:r>
    </w:p>
    <w:p>
      <w:pPr>
        <w:spacing w:before="0"/>
        <w:ind w:left="720" w:hanging="720"/>
        <w:rPr>
          <w:sz w:val="24"/>
          <w:szCs w:val="24"/>
        </w:rPr>
      </w:pPr>
      <w:r>
        <w:rPr>
          <w:sz w:val="24"/>
          <w:szCs w:val="24"/>
        </w:rPr>
        <w:t>Hegde, S. P., Sudarsanam, S., &amp;Appadu, N. (2020). Defined Contribution Pension Risk and Mergers and Acquisitions: Evidence from United Kingdom. </w:t>
      </w:r>
      <w:r>
        <w:rPr>
          <w:i/>
          <w:iCs/>
          <w:sz w:val="24"/>
          <w:szCs w:val="24"/>
        </w:rPr>
        <w:t>University of Connecticut School of Business Research Paper</w:t>
      </w:r>
      <w:r>
        <w:rPr>
          <w:sz w:val="24"/>
          <w:szCs w:val="24"/>
        </w:rPr>
        <w:t>, (20-07).</w:t>
      </w:r>
    </w:p>
    <w:p>
      <w:pPr>
        <w:spacing w:before="0"/>
        <w:ind w:left="720" w:hanging="720"/>
        <w:rPr>
          <w:sz w:val="24"/>
          <w:szCs w:val="24"/>
        </w:rPr>
      </w:pPr>
      <w:r>
        <w:rPr>
          <w:sz w:val="24"/>
          <w:szCs w:val="24"/>
        </w:rPr>
        <w:t>Indiya, G. D., Obura, J., &amp;Mise, J. K. (2018). Effect of Organization Culture on organization performance on Public Universities in Kenya.</w:t>
      </w:r>
    </w:p>
    <w:p>
      <w:pPr>
        <w:spacing w:before="0"/>
        <w:ind w:left="720" w:hanging="720"/>
        <w:rPr>
          <w:sz w:val="24"/>
          <w:szCs w:val="24"/>
        </w:rPr>
      </w:pPr>
      <w:r>
        <w:rPr>
          <w:sz w:val="24"/>
          <w:szCs w:val="24"/>
        </w:rPr>
        <w:t>International Labour Organization (ILO). (2018). World social security report 2017/18: Understanding pensions in a changing world. ILO.</w:t>
      </w:r>
    </w:p>
    <w:p>
      <w:pPr>
        <w:spacing w:before="0"/>
        <w:ind w:left="720" w:hanging="720"/>
        <w:rPr>
          <w:sz w:val="24"/>
          <w:szCs w:val="24"/>
        </w:rPr>
      </w:pPr>
      <w:r>
        <w:rPr>
          <w:sz w:val="24"/>
          <w:szCs w:val="24"/>
        </w:rPr>
        <w:t>International Labour Organization (ILO). (2018). World social security trends 2016-2017.</w:t>
      </w:r>
    </w:p>
    <w:p>
      <w:pPr>
        <w:spacing w:before="0"/>
        <w:ind w:left="720" w:hanging="720"/>
        <w:rPr>
          <w:sz w:val="24"/>
          <w:szCs w:val="24"/>
        </w:rPr>
      </w:pPr>
      <w:r>
        <w:rPr>
          <w:sz w:val="24"/>
          <w:szCs w:val="24"/>
        </w:rPr>
        <w:t>James, P., &amp; Sorensen, J. B. (2015). The strategic effects of horizontal mergers: An assessment of recent research. Strategic Management Journal, 36(8), 1085-1101.</w:t>
      </w:r>
    </w:p>
    <w:p>
      <w:pPr>
        <w:spacing w:before="0"/>
        <w:ind w:left="720" w:hanging="720"/>
        <w:rPr>
          <w:sz w:val="24"/>
          <w:szCs w:val="24"/>
        </w:rPr>
      </w:pPr>
      <w:r>
        <w:rPr>
          <w:sz w:val="24"/>
          <w:szCs w:val="24"/>
        </w:rPr>
        <w:t>Junni, P., &amp;Teerikangas, S. (2019). Mergers and acquisitions. </w:t>
      </w:r>
      <w:r>
        <w:rPr>
          <w:i/>
          <w:iCs/>
          <w:sz w:val="24"/>
          <w:szCs w:val="24"/>
        </w:rPr>
        <w:t>Oxford Research Encyclopedia of Business and Management</w:t>
      </w:r>
      <w:r>
        <w:rPr>
          <w:sz w:val="24"/>
          <w:szCs w:val="24"/>
        </w:rPr>
        <w:t>.</w:t>
      </w:r>
    </w:p>
    <w:p>
      <w:pPr>
        <w:spacing w:before="0"/>
        <w:ind w:left="720" w:hanging="720"/>
        <w:rPr>
          <w:sz w:val="24"/>
          <w:szCs w:val="24"/>
        </w:rPr>
      </w:pPr>
      <w:r>
        <w:rPr>
          <w:sz w:val="24"/>
          <w:szCs w:val="24"/>
        </w:rPr>
        <w:t>Kang, N. H., &amp; Johansson, S. (2000). Cross-border mergers and acquisitions: their role in industrial globalisation.</w:t>
      </w:r>
    </w:p>
    <w:p>
      <w:pPr>
        <w:spacing w:before="0"/>
        <w:ind w:left="720" w:hanging="720"/>
        <w:rPr>
          <w:sz w:val="24"/>
          <w:szCs w:val="24"/>
        </w:rPr>
      </w:pPr>
      <w:r>
        <w:rPr>
          <w:sz w:val="24"/>
          <w:szCs w:val="24"/>
        </w:rPr>
        <w:t>Kato, J., &amp; Schoenberg, R. (2012). Customer and competitor responses to mergers and acquisitions: an empirical investigation in the logistics industry. In Advances in mergers and acquisitions (Vol. 11, pp. 155-180). Emerald Group Publishing Limited.</w:t>
      </w:r>
    </w:p>
    <w:p>
      <w:pPr>
        <w:spacing w:before="0"/>
        <w:ind w:left="720" w:hanging="720"/>
        <w:rPr>
          <w:sz w:val="24"/>
          <w:szCs w:val="24"/>
        </w:rPr>
      </w:pPr>
      <w:r>
        <w:rPr>
          <w:sz w:val="24"/>
          <w:szCs w:val="24"/>
        </w:rPr>
        <w:t>Kato, J., &amp; Schoenberg, R. (2014). The impact of post-merger integration on the customer–supplier relationship. </w:t>
      </w:r>
      <w:r>
        <w:rPr>
          <w:i/>
          <w:iCs/>
          <w:sz w:val="24"/>
          <w:szCs w:val="24"/>
        </w:rPr>
        <w:t>Industrial Marketing Management</w:t>
      </w:r>
      <w:r>
        <w:rPr>
          <w:sz w:val="24"/>
          <w:szCs w:val="24"/>
        </w:rPr>
        <w:t>, </w:t>
      </w:r>
      <w:r>
        <w:rPr>
          <w:i/>
          <w:iCs/>
          <w:sz w:val="24"/>
          <w:szCs w:val="24"/>
        </w:rPr>
        <w:t>43</w:t>
      </w:r>
      <w:r>
        <w:rPr>
          <w:sz w:val="24"/>
          <w:szCs w:val="24"/>
        </w:rPr>
        <w:t>(2), 335-345.</w:t>
      </w:r>
    </w:p>
    <w:p>
      <w:pPr>
        <w:spacing w:before="0"/>
        <w:ind w:left="720" w:hanging="720"/>
        <w:rPr>
          <w:sz w:val="24"/>
          <w:szCs w:val="24"/>
        </w:rPr>
      </w:pPr>
      <w:r>
        <w:rPr>
          <w:sz w:val="24"/>
          <w:szCs w:val="24"/>
        </w:rPr>
        <w:t>Kelloway, E. K., &amp; Myers, V. (2019). Leading the service-profit chain: how leaders’ behaviors can affect customer experience. In Examining the Role of Well-being in the Marketing Discipline (Vol. 17, pp. 71-90). Emerald Publishing Limited.</w:t>
      </w:r>
    </w:p>
    <w:p>
      <w:pPr>
        <w:spacing w:before="0"/>
        <w:ind w:left="720" w:hanging="720"/>
        <w:rPr>
          <w:sz w:val="24"/>
          <w:szCs w:val="24"/>
        </w:rPr>
      </w:pPr>
      <w:r>
        <w:rPr>
          <w:sz w:val="24"/>
          <w:szCs w:val="24"/>
        </w:rPr>
        <w:t>Kimuganyila, S., &amp;Daninga, P. (2023). Effectiveness of service provision to pensioners: a case of Public Service Social Security Fund Beneficiaries in Dar Es Salaam, Tanzania.</w:t>
      </w:r>
    </w:p>
    <w:p>
      <w:pPr>
        <w:spacing w:before="0"/>
        <w:ind w:left="720" w:hanging="720"/>
        <w:rPr>
          <w:sz w:val="24"/>
          <w:szCs w:val="24"/>
        </w:rPr>
      </w:pPr>
      <w:r>
        <w:rPr>
          <w:sz w:val="24"/>
          <w:szCs w:val="24"/>
        </w:rPr>
        <w:t>Kimuganyila, S., &amp;Daninga, P. (2023). Effectiveness of service provision to pensioners: a case of Public Service Social Security Fund Beneficiaries in Dar Es Salaam, Tanzania.</w:t>
      </w:r>
    </w:p>
    <w:p>
      <w:pPr>
        <w:spacing w:before="0"/>
        <w:ind w:left="720" w:hanging="720"/>
        <w:rPr>
          <w:sz w:val="24"/>
          <w:szCs w:val="24"/>
        </w:rPr>
      </w:pPr>
      <w:r>
        <w:rPr>
          <w:sz w:val="24"/>
          <w:szCs w:val="24"/>
        </w:rPr>
        <w:t>King’oo, R. N., Kimencu, L., &amp;Kinyua, G. (2020). The role of networking capability on organization performance: A perspective of private universities in Kenya. Journal of Business and Economic Development, 5(3), 178-186.</w:t>
      </w:r>
    </w:p>
    <w:p>
      <w:pPr>
        <w:spacing w:before="0"/>
        <w:ind w:left="720" w:hanging="720"/>
        <w:rPr>
          <w:sz w:val="24"/>
          <w:szCs w:val="24"/>
        </w:rPr>
      </w:pPr>
      <w:r>
        <w:rPr>
          <w:sz w:val="24"/>
          <w:szCs w:val="24"/>
        </w:rPr>
        <w:t>Kiswani, Z., &amp;Omarsyah, M. A. (2015). Do the Customers Matter in Mergers and Acquisitions?</w:t>
      </w:r>
    </w:p>
    <w:p>
      <w:pPr>
        <w:spacing w:before="0"/>
        <w:ind w:left="720" w:hanging="720"/>
        <w:rPr>
          <w:sz w:val="24"/>
          <w:szCs w:val="24"/>
        </w:rPr>
      </w:pPr>
      <w:r>
        <w:rPr>
          <w:sz w:val="24"/>
          <w:szCs w:val="24"/>
        </w:rPr>
        <w:t>Lincoln, Y. S., &amp;Guba, E. G. (1985). Naturalistic inquiry. Sage publications.</w:t>
      </w:r>
    </w:p>
    <w:p>
      <w:pPr>
        <w:spacing w:before="0"/>
        <w:ind w:left="720" w:hanging="720"/>
        <w:rPr>
          <w:sz w:val="24"/>
          <w:szCs w:val="24"/>
        </w:rPr>
      </w:pPr>
      <w:r>
        <w:rPr>
          <w:sz w:val="24"/>
          <w:szCs w:val="24"/>
        </w:rPr>
        <w:t>Malik, M. F., Anuar, M. A., Khan, S., &amp; Khan, F. (2014). Mergers and acquisitions: A conceptual review. </w:t>
      </w:r>
      <w:r>
        <w:rPr>
          <w:i/>
          <w:iCs/>
          <w:sz w:val="24"/>
          <w:szCs w:val="24"/>
        </w:rPr>
        <w:t>International Journal of Accounting and Financial Reporting</w:t>
      </w:r>
      <w:r>
        <w:rPr>
          <w:sz w:val="24"/>
          <w:szCs w:val="24"/>
        </w:rPr>
        <w:t>, </w:t>
      </w:r>
      <w:r>
        <w:rPr>
          <w:i/>
          <w:iCs/>
          <w:sz w:val="24"/>
          <w:szCs w:val="24"/>
        </w:rPr>
        <w:t>4</w:t>
      </w:r>
      <w:r>
        <w:rPr>
          <w:sz w:val="24"/>
          <w:szCs w:val="24"/>
        </w:rPr>
        <w:t>(2), 520.</w:t>
      </w:r>
    </w:p>
    <w:p>
      <w:pPr>
        <w:spacing w:before="0"/>
        <w:ind w:left="720" w:hanging="720"/>
        <w:rPr>
          <w:sz w:val="24"/>
          <w:szCs w:val="24"/>
        </w:rPr>
      </w:pPr>
      <w:r>
        <w:rPr>
          <w:sz w:val="24"/>
          <w:szCs w:val="24"/>
        </w:rPr>
        <w:t>Moser, C. A., &amp;Kalton, G. (1971). Survey methods in social investigation (2nd ed.). Heinemann Educational Books.</w:t>
      </w:r>
    </w:p>
    <w:p>
      <w:pPr>
        <w:spacing w:before="0"/>
        <w:ind w:left="720" w:hanging="720"/>
        <w:rPr>
          <w:sz w:val="24"/>
          <w:szCs w:val="24"/>
        </w:rPr>
      </w:pPr>
      <w:r>
        <w:rPr>
          <w:sz w:val="24"/>
          <w:szCs w:val="24"/>
        </w:rPr>
        <w:t>Mwanthi, T. N. (2018). Linking strategy implementation with organizational performance in Kenyan universities. Kabarak Journal of Research &amp; Innovation, 5(2), 27-49.</w:t>
      </w:r>
    </w:p>
    <w:p>
      <w:pPr>
        <w:spacing w:before="0"/>
        <w:ind w:left="720" w:hanging="720"/>
        <w:rPr>
          <w:sz w:val="24"/>
          <w:szCs w:val="24"/>
        </w:rPr>
      </w:pPr>
      <w:r>
        <w:rPr>
          <w:sz w:val="24"/>
          <w:szCs w:val="24"/>
        </w:rPr>
        <w:t>Mwerinde, M. J., &amp; No, U. B. (2013). Role of Social Security Schemes in Tanzania. Challenges Facing NSSF and Members amid Government Failure to Confine Withdrawal.</w:t>
      </w:r>
    </w:p>
    <w:p>
      <w:pPr>
        <w:spacing w:before="0"/>
        <w:ind w:left="720" w:hanging="720"/>
        <w:rPr>
          <w:sz w:val="24"/>
          <w:szCs w:val="24"/>
        </w:rPr>
      </w:pPr>
      <w:r>
        <w:rPr>
          <w:sz w:val="24"/>
          <w:szCs w:val="24"/>
        </w:rPr>
        <w:t>Natthida, J. (2018). Customer perceptions of service failure, service recovery and loyalty recovery: an investigation into the airline industry. (Unpublished PhD thesis) Brunel Business School Brunel University, United Kingdom.</w:t>
      </w:r>
    </w:p>
    <w:p>
      <w:pPr>
        <w:spacing w:before="0"/>
        <w:ind w:left="720" w:hanging="720"/>
        <w:rPr>
          <w:sz w:val="24"/>
          <w:szCs w:val="24"/>
        </w:rPr>
      </w:pPr>
      <w:r>
        <w:rPr>
          <w:sz w:val="24"/>
          <w:szCs w:val="24"/>
        </w:rPr>
        <w:t>Öberg, C. (2014). Customer roles in mergers and acquisitions: a systematic literature review. Advances in Mergers and Acquisitions, 59-74.</w:t>
      </w:r>
    </w:p>
    <w:p>
      <w:pPr>
        <w:spacing w:before="0"/>
        <w:ind w:left="720" w:hanging="720"/>
        <w:rPr>
          <w:sz w:val="24"/>
          <w:szCs w:val="24"/>
        </w:rPr>
      </w:pPr>
      <w:r>
        <w:rPr>
          <w:sz w:val="24"/>
          <w:szCs w:val="24"/>
        </w:rPr>
        <w:t>Odero, J. A., &amp;Makori, M. E. (2018). Employee involvement and employee performance: The case of part time lecturers in public universities in Kenya. International Journal of Management and Commerce Innovations, 5(2), 1169-1178.</w:t>
      </w:r>
    </w:p>
    <w:p>
      <w:pPr>
        <w:spacing w:before="0"/>
        <w:ind w:left="720" w:hanging="720"/>
        <w:rPr>
          <w:sz w:val="24"/>
          <w:szCs w:val="24"/>
        </w:rPr>
      </w:pPr>
      <w:r>
        <w:rPr>
          <w:sz w:val="24"/>
          <w:szCs w:val="24"/>
        </w:rPr>
        <w:t>Omarsyah, M. A., &amp;Kiswani, Z. (2015). Do the Customers Matter in Mergers and Acquisitions?</w:t>
      </w:r>
    </w:p>
    <w:p>
      <w:pPr>
        <w:spacing w:before="0"/>
        <w:ind w:left="720" w:hanging="720"/>
        <w:rPr>
          <w:sz w:val="24"/>
          <w:szCs w:val="24"/>
        </w:rPr>
      </w:pPr>
      <w:r>
        <w:rPr>
          <w:sz w:val="24"/>
          <w:szCs w:val="24"/>
        </w:rPr>
        <w:t>Orenstein, M. A. (20</w:t>
      </w:r>
      <w:r>
        <w:rPr>
          <w:rFonts w:hint="default"/>
          <w:sz w:val="24"/>
          <w:szCs w:val="24"/>
          <w:lang w:val="en-US"/>
        </w:rPr>
        <w:t>2</w:t>
      </w:r>
      <w:r>
        <w:rPr>
          <w:sz w:val="24"/>
          <w:szCs w:val="24"/>
        </w:rPr>
        <w:t>1). Pension privatization in crisis: Death or rebirth of a global policy trend?. </w:t>
      </w:r>
      <w:r>
        <w:rPr>
          <w:i/>
          <w:iCs/>
          <w:sz w:val="24"/>
          <w:szCs w:val="24"/>
        </w:rPr>
        <w:t>International Social Security Review</w:t>
      </w:r>
      <w:r>
        <w:rPr>
          <w:sz w:val="24"/>
          <w:szCs w:val="24"/>
        </w:rPr>
        <w:t>, </w:t>
      </w:r>
      <w:r>
        <w:rPr>
          <w:i/>
          <w:iCs/>
          <w:sz w:val="24"/>
          <w:szCs w:val="24"/>
        </w:rPr>
        <w:t>64</w:t>
      </w:r>
      <w:r>
        <w:rPr>
          <w:sz w:val="24"/>
          <w:szCs w:val="24"/>
        </w:rPr>
        <w:t>(3), 65-80.</w:t>
      </w:r>
    </w:p>
    <w:p>
      <w:pPr>
        <w:spacing w:before="0"/>
        <w:ind w:left="720" w:hanging="720"/>
        <w:rPr>
          <w:sz w:val="24"/>
          <w:szCs w:val="24"/>
        </w:rPr>
      </w:pPr>
      <w:r>
        <w:rPr>
          <w:sz w:val="24"/>
          <w:szCs w:val="24"/>
        </w:rPr>
        <w:t>Phillips, R. A. (203). Stakeholder Theory and Organizational Ethics. Business Ethics Quarterly, 13(3), 479-507.</w:t>
      </w:r>
    </w:p>
    <w:p>
      <w:pPr>
        <w:spacing w:before="0"/>
        <w:ind w:left="720" w:hanging="720"/>
        <w:rPr>
          <w:sz w:val="24"/>
          <w:szCs w:val="24"/>
        </w:rPr>
      </w:pPr>
      <w:r>
        <w:rPr>
          <w:sz w:val="24"/>
          <w:szCs w:val="24"/>
        </w:rPr>
        <w:t xml:space="preserve"> Public Service Social Security Fund Act, 2018. [Tanzanian Legislation] </w:t>
      </w:r>
    </w:p>
    <w:p>
      <w:pPr>
        <w:spacing w:before="0"/>
        <w:ind w:left="720" w:hanging="720"/>
        <w:rPr>
          <w:sz w:val="24"/>
          <w:szCs w:val="24"/>
        </w:rPr>
      </w:pPr>
      <w:r>
        <w:rPr>
          <w:sz w:val="24"/>
          <w:szCs w:val="24"/>
        </w:rPr>
        <w:t>Ray, K. G. (2022). </w:t>
      </w:r>
      <w:r>
        <w:rPr>
          <w:i/>
          <w:iCs/>
          <w:sz w:val="24"/>
          <w:szCs w:val="24"/>
        </w:rPr>
        <w:t>Mergers and acquisitions: Strategy, valuation and integration</w:t>
      </w:r>
      <w:r>
        <w:rPr>
          <w:sz w:val="24"/>
          <w:szCs w:val="24"/>
        </w:rPr>
        <w:t>. PHI Learning Pvt. Ltd.</w:t>
      </w:r>
    </w:p>
    <w:p>
      <w:pPr>
        <w:spacing w:before="0"/>
        <w:ind w:left="720" w:hanging="720"/>
        <w:rPr>
          <w:sz w:val="24"/>
          <w:szCs w:val="24"/>
        </w:rPr>
      </w:pPr>
      <w:r>
        <w:rPr>
          <w:sz w:val="24"/>
          <w:szCs w:val="24"/>
        </w:rPr>
        <w:t>Reuer, J. J., Shenkar, O., &amp;Ragozzino, R. (20</w:t>
      </w:r>
      <w:r>
        <w:rPr>
          <w:rFonts w:hint="default"/>
          <w:sz w:val="24"/>
          <w:szCs w:val="24"/>
          <w:lang w:val="en-US"/>
        </w:rPr>
        <w:t>18</w:t>
      </w:r>
      <w:r>
        <w:rPr>
          <w:sz w:val="24"/>
          <w:szCs w:val="24"/>
        </w:rPr>
        <w:t>). Mitigating risk in international mergers and acquisitions: the role of contingent payouts. </w:t>
      </w:r>
      <w:r>
        <w:rPr>
          <w:i/>
          <w:iCs/>
          <w:sz w:val="24"/>
          <w:szCs w:val="24"/>
        </w:rPr>
        <w:t>Journal of international business studies</w:t>
      </w:r>
      <w:r>
        <w:rPr>
          <w:sz w:val="24"/>
          <w:szCs w:val="24"/>
        </w:rPr>
        <w:t>, </w:t>
      </w:r>
      <w:r>
        <w:rPr>
          <w:i/>
          <w:iCs/>
          <w:sz w:val="24"/>
          <w:szCs w:val="24"/>
        </w:rPr>
        <w:t>35</w:t>
      </w:r>
      <w:r>
        <w:rPr>
          <w:sz w:val="24"/>
          <w:szCs w:val="24"/>
        </w:rPr>
        <w:t>, 19-32.</w:t>
      </w:r>
    </w:p>
    <w:p>
      <w:pPr>
        <w:spacing w:before="0"/>
        <w:ind w:left="720" w:hanging="720"/>
        <w:rPr>
          <w:sz w:val="24"/>
          <w:szCs w:val="24"/>
        </w:rPr>
      </w:pPr>
      <w:r>
        <w:rPr>
          <w:sz w:val="24"/>
          <w:szCs w:val="24"/>
        </w:rPr>
        <w:t>Sandelowski, M. (2012). Sample size in qualitative research. Research in nursing &amp; health care, 33(1), 179-183.</w:t>
      </w:r>
    </w:p>
    <w:p>
      <w:pPr>
        <w:spacing w:before="0"/>
        <w:ind w:left="720" w:hanging="720"/>
        <w:rPr>
          <w:sz w:val="24"/>
          <w:szCs w:val="24"/>
        </w:rPr>
      </w:pPr>
      <w:r>
        <w:rPr>
          <w:sz w:val="24"/>
          <w:szCs w:val="24"/>
        </w:rPr>
        <w:t>Shimizu, K., Hitt, M. A., Vaidyanath, D., &amp; Pisano, V. (20</w:t>
      </w:r>
      <w:r>
        <w:rPr>
          <w:rFonts w:hint="default"/>
          <w:sz w:val="24"/>
          <w:szCs w:val="24"/>
          <w:lang w:val="en-US"/>
        </w:rPr>
        <w:t>22)</w:t>
      </w:r>
      <w:r>
        <w:rPr>
          <w:sz w:val="24"/>
          <w:szCs w:val="24"/>
        </w:rPr>
        <w:t>. Theoretical foundations of cross-border mergers and acquisitions: A review of current research and recommendations for the future. </w:t>
      </w:r>
      <w:r>
        <w:rPr>
          <w:i/>
          <w:iCs/>
          <w:sz w:val="24"/>
          <w:szCs w:val="24"/>
        </w:rPr>
        <w:t>Journal of international management</w:t>
      </w:r>
      <w:r>
        <w:rPr>
          <w:sz w:val="24"/>
          <w:szCs w:val="24"/>
        </w:rPr>
        <w:t>, </w:t>
      </w:r>
      <w:r>
        <w:rPr>
          <w:i/>
          <w:iCs/>
          <w:sz w:val="24"/>
          <w:szCs w:val="24"/>
        </w:rPr>
        <w:t>10</w:t>
      </w:r>
      <w:r>
        <w:rPr>
          <w:sz w:val="24"/>
          <w:szCs w:val="24"/>
        </w:rPr>
        <w:t>(3), 307-353.</w:t>
      </w:r>
    </w:p>
    <w:p>
      <w:pPr>
        <w:spacing w:before="0"/>
        <w:ind w:left="720" w:hanging="720"/>
        <w:rPr>
          <w:sz w:val="24"/>
          <w:szCs w:val="24"/>
        </w:rPr>
      </w:pPr>
      <w:r>
        <w:rPr>
          <w:sz w:val="24"/>
          <w:szCs w:val="24"/>
        </w:rPr>
        <w:t xml:space="preserve">Singh, N., Rani, P., &amp; Sharma, R. K. (2018). Factors affecting customer satisfaction with public services: A literature review. International Journal of Public Sector Management, 31(2), 226-247. </w:t>
      </w:r>
    </w:p>
    <w:p>
      <w:pPr>
        <w:spacing w:before="0"/>
        <w:ind w:left="720" w:hanging="720"/>
        <w:rPr>
          <w:sz w:val="24"/>
          <w:szCs w:val="24"/>
        </w:rPr>
      </w:pPr>
      <w:r>
        <w:rPr>
          <w:sz w:val="24"/>
          <w:szCs w:val="24"/>
        </w:rPr>
        <w:t>Sudarsanam, S. (2003). </w:t>
      </w:r>
      <w:r>
        <w:rPr>
          <w:i/>
          <w:iCs/>
          <w:sz w:val="24"/>
          <w:szCs w:val="24"/>
        </w:rPr>
        <w:t>Creating value from mergers and acquisitions: The challenges: An integrated and international perspective</w:t>
      </w:r>
      <w:r>
        <w:rPr>
          <w:sz w:val="24"/>
          <w:szCs w:val="24"/>
        </w:rPr>
        <w:t>. Pearson Education.</w:t>
      </w:r>
    </w:p>
    <w:p>
      <w:pPr>
        <w:spacing w:before="0"/>
        <w:ind w:left="720" w:hanging="720"/>
        <w:rPr>
          <w:sz w:val="24"/>
          <w:szCs w:val="24"/>
        </w:rPr>
      </w:pPr>
      <w:r>
        <w:rPr>
          <w:sz w:val="24"/>
          <w:szCs w:val="24"/>
        </w:rPr>
        <w:t>Swaminathan, V., Groening, C., Mittal, V., &amp;Thomaz, F. (2014). How achieving the dual goal of customer satisfaction and efficiency in mergers affects a firm’s long-term financial performance. </w:t>
      </w:r>
      <w:r>
        <w:rPr>
          <w:i/>
          <w:iCs/>
          <w:sz w:val="24"/>
          <w:szCs w:val="24"/>
        </w:rPr>
        <w:t>Journal of Service Research</w:t>
      </w:r>
      <w:r>
        <w:rPr>
          <w:sz w:val="24"/>
          <w:szCs w:val="24"/>
        </w:rPr>
        <w:t>, </w:t>
      </w:r>
      <w:r>
        <w:rPr>
          <w:i/>
          <w:iCs/>
          <w:sz w:val="24"/>
          <w:szCs w:val="24"/>
        </w:rPr>
        <w:t>17</w:t>
      </w:r>
      <w:r>
        <w:rPr>
          <w:sz w:val="24"/>
          <w:szCs w:val="24"/>
        </w:rPr>
        <w:t>(2), 182-194.</w:t>
      </w:r>
    </w:p>
    <w:p>
      <w:pPr>
        <w:spacing w:before="0"/>
        <w:ind w:left="720" w:hanging="720"/>
        <w:rPr>
          <w:sz w:val="24"/>
          <w:szCs w:val="24"/>
        </w:rPr>
      </w:pPr>
      <w:r>
        <w:rPr>
          <w:sz w:val="24"/>
          <w:szCs w:val="24"/>
        </w:rPr>
        <w:t xml:space="preserve">Tanzania - United Republic of Tanzania. (n.d.). Five Year Development Plans. </w:t>
      </w:r>
    </w:p>
    <w:p>
      <w:pPr>
        <w:spacing w:before="0"/>
        <w:ind w:left="720" w:hanging="720"/>
        <w:rPr>
          <w:sz w:val="24"/>
          <w:szCs w:val="24"/>
        </w:rPr>
      </w:pPr>
      <w:r>
        <w:rPr>
          <w:sz w:val="24"/>
          <w:szCs w:val="24"/>
        </w:rPr>
        <w:t>Taxpayer Service Center (2023). How to Improve Customer Service in Government Agencies.</w:t>
      </w:r>
    </w:p>
    <w:p>
      <w:pPr>
        <w:spacing w:before="0"/>
        <w:ind w:left="720" w:hanging="720"/>
        <w:rPr>
          <w:sz w:val="24"/>
          <w:szCs w:val="24"/>
        </w:rPr>
      </w:pPr>
      <w:r>
        <w:rPr>
          <w:sz w:val="24"/>
          <w:szCs w:val="24"/>
        </w:rPr>
        <w:t>Thorbjørnsen, H., &amp;Dahlén, M. (20</w:t>
      </w:r>
      <w:r>
        <w:rPr>
          <w:rFonts w:hint="default"/>
          <w:sz w:val="24"/>
          <w:szCs w:val="24"/>
          <w:lang w:val="en-US"/>
        </w:rPr>
        <w:t>2</w:t>
      </w:r>
      <w:r>
        <w:rPr>
          <w:sz w:val="24"/>
          <w:szCs w:val="24"/>
        </w:rPr>
        <w:t>1). Customer reactions to acquirer-dominant mergers and acquisitions. International journal of research in marketing, 28(4), 332-341.</w:t>
      </w:r>
    </w:p>
    <w:p>
      <w:pPr>
        <w:spacing w:before="0"/>
        <w:ind w:left="720" w:hanging="720"/>
        <w:rPr>
          <w:sz w:val="24"/>
          <w:szCs w:val="24"/>
        </w:rPr>
      </w:pPr>
      <w:r>
        <w:rPr>
          <w:sz w:val="24"/>
          <w:szCs w:val="24"/>
        </w:rPr>
        <w:t>Ulriksen, M. S. (2016). The development of social protection policies in Tanzania, 2000-2015.</w:t>
      </w:r>
    </w:p>
    <w:p>
      <w:pPr>
        <w:spacing w:before="0"/>
        <w:ind w:left="720" w:hanging="720"/>
        <w:rPr>
          <w:sz w:val="24"/>
          <w:szCs w:val="24"/>
        </w:rPr>
      </w:pPr>
      <w:r>
        <w:rPr>
          <w:sz w:val="24"/>
          <w:szCs w:val="24"/>
        </w:rPr>
        <w:t>Umashankar, N., Bahadir, S. C., &amp;Bharadwaj, S. (2022). Despite efficiencies, mergers and acquisitions reduce firm value by hurting customer satisfaction. </w:t>
      </w:r>
      <w:r>
        <w:rPr>
          <w:i/>
          <w:iCs/>
          <w:sz w:val="24"/>
          <w:szCs w:val="24"/>
        </w:rPr>
        <w:t>Journal of Marketing</w:t>
      </w:r>
      <w:r>
        <w:rPr>
          <w:sz w:val="24"/>
          <w:szCs w:val="24"/>
        </w:rPr>
        <w:t>, </w:t>
      </w:r>
      <w:r>
        <w:rPr>
          <w:i/>
          <w:iCs/>
          <w:sz w:val="24"/>
          <w:szCs w:val="24"/>
        </w:rPr>
        <w:t>86</w:t>
      </w:r>
      <w:r>
        <w:rPr>
          <w:sz w:val="24"/>
          <w:szCs w:val="24"/>
        </w:rPr>
        <w:t>(2), 66-86.</w:t>
      </w:r>
    </w:p>
    <w:p>
      <w:pPr>
        <w:spacing w:before="0"/>
        <w:ind w:left="720" w:hanging="720"/>
        <w:rPr>
          <w:sz w:val="24"/>
          <w:szCs w:val="24"/>
        </w:rPr>
      </w:pPr>
      <w:r>
        <w:rPr>
          <w:sz w:val="24"/>
          <w:szCs w:val="24"/>
        </w:rPr>
        <w:t>Wei, H., &amp; Prentice, C. (2022). Addressing service profit chain with artificial and emotional intelligence. Journal of Hospitality Marketing &amp; Management, 31(6), 730-756.</w:t>
      </w:r>
    </w:p>
    <w:p>
      <w:pPr>
        <w:spacing w:before="0"/>
        <w:ind w:left="720" w:hanging="720"/>
        <w:rPr>
          <w:sz w:val="24"/>
          <w:szCs w:val="24"/>
        </w:rPr>
      </w:pPr>
      <w:r>
        <w:rPr>
          <w:sz w:val="24"/>
          <w:szCs w:val="24"/>
        </w:rPr>
        <w:t>World Bank. (20</w:t>
      </w:r>
      <w:r>
        <w:rPr>
          <w:rFonts w:hint="default"/>
          <w:sz w:val="24"/>
          <w:szCs w:val="24"/>
          <w:lang w:val="en-US"/>
        </w:rPr>
        <w:t>2</w:t>
      </w:r>
      <w:r>
        <w:rPr>
          <w:sz w:val="24"/>
          <w:szCs w:val="24"/>
        </w:rPr>
        <w:t>2). Averting the old age crisis: Policies to improve pension systems.</w:t>
      </w:r>
    </w:p>
    <w:p>
      <w:pPr>
        <w:spacing w:before="0"/>
        <w:ind w:left="720" w:hanging="720"/>
        <w:rPr>
          <w:sz w:val="24"/>
          <w:szCs w:val="24"/>
        </w:rPr>
      </w:pPr>
      <w:r>
        <w:rPr>
          <w:sz w:val="24"/>
          <w:szCs w:val="24"/>
        </w:rPr>
        <w:t>World Bank. (20</w:t>
      </w:r>
      <w:r>
        <w:rPr>
          <w:rFonts w:hint="default"/>
          <w:sz w:val="24"/>
          <w:szCs w:val="24"/>
          <w:lang w:val="en-US"/>
        </w:rPr>
        <w:t>2</w:t>
      </w:r>
      <w:r>
        <w:rPr>
          <w:sz w:val="24"/>
          <w:szCs w:val="24"/>
        </w:rPr>
        <w:t>2). Public expenditure management and financial accountability: Approaches and country experiences (Vol. 2). World Bank Publications.</w:t>
      </w:r>
    </w:p>
    <w:p>
      <w:pPr>
        <w:spacing w:before="0"/>
        <w:ind w:left="720" w:hanging="720"/>
        <w:rPr>
          <w:sz w:val="24"/>
          <w:szCs w:val="24"/>
        </w:rPr>
      </w:pPr>
      <w:r>
        <w:rPr>
          <w:sz w:val="24"/>
          <w:szCs w:val="24"/>
        </w:rPr>
        <w:t>Zollo, M., &amp; Meier, D. (2008). What is M&amp;A performance? </w:t>
      </w:r>
      <w:r>
        <w:rPr>
          <w:i/>
          <w:iCs/>
          <w:sz w:val="24"/>
          <w:szCs w:val="24"/>
        </w:rPr>
        <w:t>Academy of management perspectives</w:t>
      </w:r>
      <w:r>
        <w:rPr>
          <w:sz w:val="24"/>
          <w:szCs w:val="24"/>
        </w:rPr>
        <w:t>, </w:t>
      </w:r>
      <w:r>
        <w:rPr>
          <w:i/>
          <w:iCs/>
          <w:sz w:val="24"/>
          <w:szCs w:val="24"/>
        </w:rPr>
        <w:t>22</w:t>
      </w:r>
      <w:r>
        <w:rPr>
          <w:sz w:val="24"/>
          <w:szCs w:val="24"/>
        </w:rPr>
        <w:t>(3), 55-77.</w:t>
      </w:r>
    </w:p>
    <w:p>
      <w:pPr>
        <w:spacing w:before="0"/>
        <w:ind w:left="720" w:hanging="720"/>
        <w:rPr>
          <w:sz w:val="24"/>
          <w:szCs w:val="24"/>
        </w:rPr>
      </w:pPr>
      <w:r>
        <w:rPr>
          <w:sz w:val="24"/>
          <w:szCs w:val="24"/>
        </w:rPr>
        <w:t>National Pension Commission of Nigeria. (2019). National Pension Commission Strategic Plan 2018-2022.</w:t>
      </w:r>
    </w:p>
    <w:p>
      <w:pPr>
        <w:spacing w:before="0"/>
        <w:ind w:left="720" w:hanging="720"/>
        <w:rPr>
          <w:sz w:val="24"/>
          <w:szCs w:val="24"/>
        </w:rPr>
      </w:pPr>
      <w:r>
        <w:rPr>
          <w:sz w:val="24"/>
          <w:szCs w:val="24"/>
        </w:rPr>
        <w:t>National Social Security Fund of Kenya. (2018). National Social Security Fund Strategic Plan 2018-2022.</w:t>
      </w:r>
    </w:p>
    <w:p>
      <w:pPr>
        <w:spacing w:before="0"/>
        <w:ind w:left="720" w:hanging="720"/>
        <w:rPr>
          <w:sz w:val="24"/>
          <w:szCs w:val="24"/>
        </w:rPr>
      </w:pPr>
      <w:r>
        <w:rPr>
          <w:sz w:val="24"/>
          <w:szCs w:val="24"/>
        </w:rPr>
        <w:t>National Treasury of South Africa. (2015). Amendment to the Pension Funds Act, 1993.</w:t>
      </w:r>
    </w:p>
    <w:p>
      <w:pPr>
        <w:spacing w:before="0"/>
        <w:ind w:left="720" w:hanging="720"/>
        <w:rPr>
          <w:sz w:val="24"/>
          <w:szCs w:val="24"/>
        </w:rPr>
      </w:pPr>
      <w:r>
        <w:rPr>
          <w:sz w:val="24"/>
          <w:szCs w:val="24"/>
        </w:rPr>
        <w:t>Public Service Social Security Fund Act, 2018.</w:t>
      </w:r>
    </w:p>
    <w:p>
      <w:pPr>
        <w:spacing w:before="0"/>
        <w:ind w:left="720" w:hanging="720"/>
        <w:rPr>
          <w:sz w:val="24"/>
          <w:szCs w:val="24"/>
        </w:rPr>
      </w:pPr>
      <w:r>
        <w:rPr>
          <w:sz w:val="24"/>
          <w:szCs w:val="24"/>
        </w:rPr>
        <w:t>World Bank. (20</w:t>
      </w:r>
      <w:r>
        <w:rPr>
          <w:rFonts w:hint="default"/>
          <w:sz w:val="24"/>
          <w:szCs w:val="24"/>
          <w:lang w:val="en-US"/>
        </w:rPr>
        <w:t>18</w:t>
      </w:r>
      <w:r>
        <w:rPr>
          <w:sz w:val="24"/>
          <w:szCs w:val="24"/>
        </w:rPr>
        <w:t>). Averting the Old Age Crisis: Policies to Improve Pension Systems.</w:t>
      </w:r>
    </w:p>
    <w:p>
      <w:pPr>
        <w:rPr>
          <w:sz w:val="24"/>
          <w:szCs w:val="24"/>
        </w:rPr>
        <w:sectPr>
          <w:pgSz w:w="12240" w:h="15840"/>
          <w:pgMar w:top="1440" w:right="1800" w:bottom="1440" w:left="1800" w:header="720" w:footer="720" w:gutter="0"/>
          <w:cols w:space="720" w:num="1"/>
          <w:docGrid w:linePitch="360" w:charSpace="0"/>
        </w:sectPr>
      </w:pPr>
    </w:p>
    <w:p>
      <w:pPr>
        <w:pStyle w:val="2"/>
      </w:pPr>
      <w:bookmarkStart w:id="189" w:name="_Toc32548"/>
      <w:r>
        <w:t>APPENDICES</w:t>
      </w:r>
      <w:bookmarkEnd w:id="189"/>
    </w:p>
    <w:p>
      <w:pPr>
        <w:pStyle w:val="7"/>
        <w:bidi w:val="0"/>
      </w:pPr>
      <w:bookmarkStart w:id="190" w:name="_Toc4787"/>
      <w:bookmarkStart w:id="191" w:name="_Toc31902"/>
      <w:r>
        <w:t xml:space="preserve">Appendix I: </w:t>
      </w:r>
      <w:r>
        <w:rPr>
          <w:rFonts w:hint="default"/>
        </w:rPr>
        <w:t xml:space="preserve"> Study</w:t>
      </w:r>
      <w:r>
        <w:rPr>
          <w:rFonts w:hint="default"/>
          <w:lang w:val="en-US"/>
        </w:rPr>
        <w:t xml:space="preserve"> </w:t>
      </w:r>
      <w:r>
        <w:t>Questionnaire</w:t>
      </w:r>
      <w:bookmarkEnd w:id="190"/>
      <w:bookmarkEnd w:id="191"/>
    </w:p>
    <w:p>
      <w:pPr>
        <w:widowControl w:val="0"/>
        <w:spacing w:after="0" w:line="360" w:lineRule="auto"/>
        <w:ind w:left="-5"/>
        <w:rPr>
          <w:rFonts w:ascii="Times New Roman" w:hAnsi="Times New Roman" w:cs="Times New Roman"/>
          <w:sz w:val="24"/>
          <w:szCs w:val="24"/>
        </w:rPr>
      </w:pPr>
      <w:r>
        <w:rPr>
          <w:rFonts w:ascii="Times New Roman" w:hAnsi="Times New Roman" w:cs="Times New Roman"/>
          <w:sz w:val="24"/>
          <w:szCs w:val="24"/>
        </w:rPr>
        <w:t xml:space="preserve">Dear respondent, </w:t>
      </w:r>
    </w:p>
    <w:p>
      <w:pPr>
        <w:spacing w:before="0" w:after="0"/>
        <w:rPr>
          <w:rFonts w:ascii="Times New Roman" w:hAnsi="Times New Roman" w:cs="Times New Roman"/>
          <w:sz w:val="24"/>
          <w:szCs w:val="24"/>
        </w:rPr>
      </w:pPr>
      <w:r>
        <w:rPr>
          <w:rFonts w:ascii="Times New Roman" w:hAnsi="Times New Roman" w:cs="Times New Roman"/>
          <w:sz w:val="24"/>
          <w:szCs w:val="24"/>
        </w:rPr>
        <w:t xml:space="preserve">I am a Master’s Degree student at </w:t>
      </w:r>
      <w:r>
        <w:rPr>
          <w:rFonts w:ascii="Times New Roman" w:hAnsi="Times New Roman" w:cs="Times New Roman"/>
          <w:b/>
          <w:sz w:val="24"/>
          <w:szCs w:val="24"/>
        </w:rPr>
        <w:t>Tanzania Institute Accountancy (TIA)</w:t>
      </w:r>
      <w:r>
        <w:rPr>
          <w:rFonts w:ascii="Times New Roman" w:hAnsi="Times New Roman" w:cs="Times New Roman"/>
          <w:sz w:val="24"/>
          <w:szCs w:val="24"/>
        </w:rPr>
        <w:t xml:space="preserve">undertaking an academic study on the </w:t>
      </w:r>
      <w:r>
        <w:rPr>
          <w:rFonts w:cs="Times New Roman"/>
          <w:b/>
          <w:szCs w:val="24"/>
        </w:rPr>
        <w:t>The Effect of Mergers and Acquisitions in Enhancing Welfare of Public Servants in Tanzania: A Case of Tanzania Public Service Social Security Fund (PSSSF), Dar Es Salaam</w:t>
      </w:r>
      <w:r>
        <w:rPr>
          <w:rFonts w:cs="Times New Roman"/>
          <w:szCs w:val="24"/>
        </w:rPr>
        <w:t>”</w:t>
      </w:r>
      <w:r>
        <w:rPr>
          <w:rFonts w:cs="Times New Roman"/>
          <w:b/>
          <w:bCs/>
          <w:kern w:val="2"/>
          <w:szCs w:val="24"/>
          <w14:ligatures w14:val="standardContextual"/>
        </w:rPr>
        <w:t xml:space="preserve"> </w:t>
      </w:r>
      <w:r>
        <w:rPr>
          <w:rFonts w:cs="Times New Roman"/>
          <w:szCs w:val="24"/>
        </w:rPr>
        <w:t xml:space="preserve">for the partial fulfillment of the requirements for the award of Marketing and Public Relations at </w:t>
      </w:r>
      <w:r>
        <w:rPr>
          <w:rFonts w:cs="Times New Roman"/>
          <w:szCs w:val="24"/>
          <w:lang w:val="en-GB"/>
        </w:rPr>
        <w:t>Tanzania Institute of Accountancy.</w:t>
      </w:r>
      <w:r>
        <w:rPr>
          <w:rFonts w:ascii="Times New Roman" w:hAnsi="Times New Roman" w:cs="Times New Roman"/>
          <w:sz w:val="24"/>
          <w:szCs w:val="24"/>
        </w:rPr>
        <w:t xml:space="preserve"> Your responses will be treated confidential and used for only academic purpose.</w:t>
      </w:r>
    </w:p>
    <w:p>
      <w:pPr>
        <w:spacing w:before="0" w:after="0" w:line="240" w:lineRule="auto"/>
        <w:rPr>
          <w:b/>
          <w:bCs/>
        </w:rPr>
      </w:pPr>
    </w:p>
    <w:p>
      <w:pPr>
        <w:spacing w:before="0" w:after="0" w:line="240" w:lineRule="auto"/>
        <w:rPr>
          <w:b/>
          <w:bCs/>
        </w:rPr>
      </w:pPr>
      <w:r>
        <w:rPr>
          <w:b/>
          <w:bCs/>
        </w:rPr>
        <w:t>A. SECTION A: DEMOGRAPHIC CHARACTERISTICS (Public Servants)</w:t>
      </w:r>
    </w:p>
    <w:p>
      <w:pPr>
        <w:spacing w:before="0" w:after="0" w:line="240" w:lineRule="auto"/>
        <w:rPr>
          <w:b/>
          <w:bCs/>
        </w:rPr>
      </w:pPr>
      <w:r>
        <w:rPr>
          <w:b/>
          <w:bCs/>
        </w:rPr>
        <w:t>A1. Age</w:t>
      </w:r>
    </w:p>
    <w:p>
      <w:pPr>
        <w:spacing w:before="0" w:after="0" w:line="240" w:lineRule="auto"/>
      </w:pPr>
      <w:r>
        <w:t>What is your age group? (Select one)</w:t>
      </w:r>
    </w:p>
    <w:p>
      <w:pPr>
        <w:numPr>
          <w:ilvl w:val="0"/>
          <w:numId w:val="7"/>
        </w:numPr>
        <w:spacing w:before="0" w:after="0" w:line="240" w:lineRule="auto"/>
      </w:pPr>
      <w:r>
        <w:pict>
          <v:shape id="_x0000_i1025" o:spt="75" type="#_x0000_t75" style="height:18.6pt;width:20.4pt;" filled="f" stroked="f" coordsize="21600,21600">
            <v:path/>
            <v:fill on="f" focussize="0,0"/>
            <v:stroke on="f" joinstyle="miter"/>
            <v:imagedata r:id="rId12" embosscolor="#FFFFFF" o:title=""/>
            <o:lock v:ext="edit" aspectratio="t"/>
            <w10:wrap type="none"/>
            <w10:anchorlock/>
          </v:shape>
        </w:pict>
      </w:r>
      <w:r>
        <w:t>18-25 years</w:t>
      </w:r>
    </w:p>
    <w:p>
      <w:pPr>
        <w:numPr>
          <w:ilvl w:val="0"/>
          <w:numId w:val="7"/>
        </w:numPr>
        <w:spacing w:before="0" w:after="0" w:line="240" w:lineRule="auto"/>
      </w:pPr>
      <w:r>
        <w:pict>
          <v:shape id="_x0000_i1026" o:spt="75" type="#_x0000_t75" style="height:18.6pt;width:20.4pt;" filled="f" stroked="f" coordsize="21600,21600">
            <v:path/>
            <v:fill on="f" focussize="0,0"/>
            <v:stroke on="f" joinstyle="miter"/>
            <v:imagedata r:id="rId12" embosscolor="#FFFFFF" o:title=""/>
            <o:lock v:ext="edit" aspectratio="t"/>
            <w10:wrap type="none"/>
            <w10:anchorlock/>
          </v:shape>
        </w:pict>
      </w:r>
      <w:r>
        <w:t>26-35 years</w:t>
      </w:r>
    </w:p>
    <w:p>
      <w:pPr>
        <w:numPr>
          <w:ilvl w:val="0"/>
          <w:numId w:val="7"/>
        </w:numPr>
        <w:spacing w:before="0" w:after="0" w:line="240" w:lineRule="auto"/>
      </w:pPr>
      <w:r>
        <w:pict>
          <v:shape id="_x0000_i1027" o:spt="75" type="#_x0000_t75" style="height:18.6pt;width:20.4pt;" filled="f" stroked="f" coordsize="21600,21600">
            <v:path/>
            <v:fill on="f" focussize="0,0"/>
            <v:stroke on="f" joinstyle="miter"/>
            <v:imagedata r:id="rId12" embosscolor="#FFFFFF" o:title=""/>
            <o:lock v:ext="edit" aspectratio="t"/>
            <w10:wrap type="none"/>
            <w10:anchorlock/>
          </v:shape>
        </w:pict>
      </w:r>
      <w:r>
        <w:t>36-45 years</w:t>
      </w:r>
    </w:p>
    <w:p>
      <w:pPr>
        <w:numPr>
          <w:ilvl w:val="0"/>
          <w:numId w:val="7"/>
        </w:numPr>
        <w:spacing w:before="0" w:after="0" w:line="240" w:lineRule="auto"/>
      </w:pPr>
      <w:r>
        <w:pict>
          <v:shape id="_x0000_i1028" o:spt="75" type="#_x0000_t75" style="height:18.6pt;width:20.4pt;" filled="f" stroked="f" coordsize="21600,21600">
            <v:path/>
            <v:fill on="f" focussize="0,0"/>
            <v:stroke on="f" joinstyle="miter"/>
            <v:imagedata r:id="rId12" embosscolor="#FFFFFF" o:title=""/>
            <o:lock v:ext="edit" aspectratio="t"/>
            <w10:wrap type="none"/>
            <w10:anchorlock/>
          </v:shape>
        </w:pict>
      </w:r>
      <w:r>
        <w:t>46-55 years</w:t>
      </w:r>
    </w:p>
    <w:p>
      <w:pPr>
        <w:numPr>
          <w:ilvl w:val="0"/>
          <w:numId w:val="7"/>
        </w:numPr>
        <w:spacing w:before="0" w:after="0" w:line="240" w:lineRule="auto"/>
      </w:pPr>
      <w:r>
        <w:pict>
          <v:shape id="_x0000_i1029" o:spt="75" type="#_x0000_t75" style="height:18.6pt;width:20.4pt;" filled="f" stroked="f" coordsize="21600,21600">
            <v:path/>
            <v:fill on="f" focussize="0,0"/>
            <v:stroke on="f" joinstyle="miter"/>
            <v:imagedata r:id="rId12" embosscolor="#FFFFFF" o:title=""/>
            <o:lock v:ext="edit" aspectratio="t"/>
            <w10:wrap type="none"/>
            <w10:anchorlock/>
          </v:shape>
        </w:pict>
      </w:r>
      <w:r>
        <w:t>56 years and above</w:t>
      </w:r>
    </w:p>
    <w:p>
      <w:pPr>
        <w:spacing w:before="0" w:after="0" w:line="240" w:lineRule="auto"/>
        <w:rPr>
          <w:b/>
          <w:bCs/>
        </w:rPr>
      </w:pPr>
      <w:r>
        <w:rPr>
          <w:b/>
          <w:bCs/>
        </w:rPr>
        <w:t>A2. Gender</w:t>
      </w:r>
    </w:p>
    <w:p>
      <w:pPr>
        <w:spacing w:before="0" w:after="0" w:line="240" w:lineRule="auto"/>
      </w:pPr>
      <w:r>
        <w:t>What is your gender? (Select one)</w:t>
      </w:r>
    </w:p>
    <w:p>
      <w:pPr>
        <w:numPr>
          <w:ilvl w:val="0"/>
          <w:numId w:val="8"/>
        </w:numPr>
        <w:spacing w:before="0" w:after="0" w:line="240" w:lineRule="auto"/>
      </w:pPr>
      <w:r>
        <w:pict>
          <v:shape id="_x0000_i1030" o:spt="75" type="#_x0000_t75" style="height:18.6pt;width:20.4pt;" filled="f" stroked="f" coordsize="21600,21600">
            <v:path/>
            <v:fill on="f" focussize="0,0"/>
            <v:stroke on="f" joinstyle="miter"/>
            <v:imagedata r:id="rId12" embosscolor="#FFFFFF" o:title=""/>
            <o:lock v:ext="edit" aspectratio="t"/>
            <w10:wrap type="none"/>
            <w10:anchorlock/>
          </v:shape>
        </w:pict>
      </w:r>
      <w:r>
        <w:t>Male</w:t>
      </w:r>
    </w:p>
    <w:p>
      <w:pPr>
        <w:numPr>
          <w:ilvl w:val="0"/>
          <w:numId w:val="8"/>
        </w:numPr>
        <w:spacing w:before="0" w:after="0" w:line="240" w:lineRule="auto"/>
      </w:pPr>
      <w:r>
        <w:pict>
          <v:shape id="_x0000_i1031" o:spt="75" type="#_x0000_t75" style="height:18.6pt;width:20.4pt;" filled="f" stroked="f" coordsize="21600,21600">
            <v:path/>
            <v:fill on="f" focussize="0,0"/>
            <v:stroke on="f" joinstyle="miter"/>
            <v:imagedata r:id="rId12" embosscolor="#FFFFFF" o:title=""/>
            <o:lock v:ext="edit" aspectratio="t"/>
            <w10:wrap type="none"/>
            <w10:anchorlock/>
          </v:shape>
        </w:pict>
      </w:r>
      <w:r>
        <w:t>Female</w:t>
      </w:r>
    </w:p>
    <w:p>
      <w:pPr>
        <w:numPr>
          <w:ilvl w:val="0"/>
          <w:numId w:val="8"/>
        </w:numPr>
        <w:spacing w:before="0" w:after="0" w:line="240" w:lineRule="auto"/>
      </w:pPr>
      <w:r>
        <w:pict>
          <v:shape id="_x0000_i1032" o:spt="75" type="#_x0000_t75" style="height:18.6pt;width:20.4pt;" filled="f" stroked="f" coordsize="21600,21600">
            <v:path/>
            <v:fill on="f" focussize="0,0"/>
            <v:stroke on="f" joinstyle="miter"/>
            <v:imagedata r:id="rId12" embosscolor="#FFFFFF" o:title=""/>
            <o:lock v:ext="edit" aspectratio="t"/>
            <w10:wrap type="none"/>
            <w10:anchorlock/>
          </v:shape>
        </w:pict>
      </w:r>
      <w:r>
        <w:t>Other (Please specify): ______________</w:t>
      </w:r>
    </w:p>
    <w:p>
      <w:pPr>
        <w:spacing w:before="0" w:after="0" w:line="240" w:lineRule="auto"/>
        <w:rPr>
          <w:b/>
          <w:bCs/>
        </w:rPr>
      </w:pPr>
      <w:r>
        <w:rPr>
          <w:b/>
          <w:bCs/>
        </w:rPr>
        <w:t>A3. Marital Status</w:t>
      </w:r>
    </w:p>
    <w:p>
      <w:pPr>
        <w:spacing w:before="0" w:after="0" w:line="240" w:lineRule="auto"/>
      </w:pPr>
      <w:r>
        <w:t>What is your current marital status? (Select one)</w:t>
      </w:r>
    </w:p>
    <w:p>
      <w:pPr>
        <w:numPr>
          <w:ilvl w:val="0"/>
          <w:numId w:val="9"/>
        </w:numPr>
        <w:spacing w:before="0" w:after="0" w:line="240" w:lineRule="auto"/>
      </w:pPr>
      <w:r>
        <w:pict>
          <v:shape id="_x0000_i1033" o:spt="75" type="#_x0000_t75" style="height:18.6pt;width:20.4pt;" filled="f" stroked="f" coordsize="21600,21600">
            <v:path/>
            <v:fill on="f" focussize="0,0"/>
            <v:stroke on="f" joinstyle="miter"/>
            <v:imagedata r:id="rId12" embosscolor="#FFFFFF" o:title=""/>
            <o:lock v:ext="edit" aspectratio="t"/>
            <w10:wrap type="none"/>
            <w10:anchorlock/>
          </v:shape>
        </w:pict>
      </w:r>
      <w:r>
        <w:t>Single</w:t>
      </w:r>
    </w:p>
    <w:p>
      <w:pPr>
        <w:numPr>
          <w:ilvl w:val="0"/>
          <w:numId w:val="9"/>
        </w:numPr>
        <w:spacing w:before="0" w:after="0" w:line="240" w:lineRule="auto"/>
      </w:pPr>
      <w:r>
        <w:pict>
          <v:shape id="_x0000_i1034" o:spt="75" type="#_x0000_t75" style="height:18.6pt;width:20.4pt;" filled="f" stroked="f" coordsize="21600,21600">
            <v:path/>
            <v:fill on="f" focussize="0,0"/>
            <v:stroke on="f" joinstyle="miter"/>
            <v:imagedata r:id="rId12" embosscolor="#FFFFFF" o:title=""/>
            <o:lock v:ext="edit" aspectratio="t"/>
            <w10:wrap type="none"/>
            <w10:anchorlock/>
          </v:shape>
        </w:pict>
      </w:r>
      <w:r>
        <w:t>Married</w:t>
      </w:r>
    </w:p>
    <w:p>
      <w:pPr>
        <w:numPr>
          <w:ilvl w:val="0"/>
          <w:numId w:val="9"/>
        </w:numPr>
        <w:spacing w:before="0" w:after="0" w:line="240" w:lineRule="auto"/>
      </w:pPr>
      <w:r>
        <w:pict>
          <v:shape id="_x0000_i1035" o:spt="75" type="#_x0000_t75" style="height:18.6pt;width:20.4pt;" filled="f" stroked="f" coordsize="21600,21600">
            <v:path/>
            <v:fill on="f" focussize="0,0"/>
            <v:stroke on="f" joinstyle="miter"/>
            <v:imagedata r:id="rId12" embosscolor="#FFFFFF" o:title=""/>
            <o:lock v:ext="edit" aspectratio="t"/>
            <w10:wrap type="none"/>
            <w10:anchorlock/>
          </v:shape>
        </w:pict>
      </w:r>
      <w:r>
        <w:t>Divorced</w:t>
      </w:r>
    </w:p>
    <w:p>
      <w:pPr>
        <w:numPr>
          <w:ilvl w:val="0"/>
          <w:numId w:val="9"/>
        </w:numPr>
        <w:spacing w:before="0" w:after="0" w:line="240" w:lineRule="auto"/>
      </w:pPr>
      <w:r>
        <w:pict>
          <v:shape id="_x0000_i1036" o:spt="75" type="#_x0000_t75" style="height:18.6pt;width:20.4pt;" filled="f" stroked="f" coordsize="21600,21600">
            <v:path/>
            <v:fill on="f" focussize="0,0"/>
            <v:stroke on="f" joinstyle="miter"/>
            <v:imagedata r:id="rId12" embosscolor="#FFFFFF" o:title=""/>
            <o:lock v:ext="edit" aspectratio="t"/>
            <w10:wrap type="none"/>
            <w10:anchorlock/>
          </v:shape>
        </w:pict>
      </w:r>
      <w:r>
        <w:t>Widowed</w:t>
      </w:r>
    </w:p>
    <w:p>
      <w:pPr>
        <w:numPr>
          <w:ilvl w:val="0"/>
          <w:numId w:val="9"/>
        </w:numPr>
        <w:spacing w:before="0" w:after="0" w:line="240" w:lineRule="auto"/>
      </w:pPr>
      <w:r>
        <w:pict>
          <v:shape id="_x0000_i1037" o:spt="75" type="#_x0000_t75" style="height:18.6pt;width:20.4pt;" filled="f" stroked="f" coordsize="21600,21600">
            <v:path/>
            <v:fill on="f" focussize="0,0"/>
            <v:stroke on="f" joinstyle="miter"/>
            <v:imagedata r:id="rId12" embosscolor="#FFFFFF" o:title=""/>
            <o:lock v:ext="edit" aspectratio="t"/>
            <w10:wrap type="none"/>
            <w10:anchorlock/>
          </v:shape>
        </w:pict>
      </w:r>
      <w:r>
        <w:t>Separated</w:t>
      </w:r>
    </w:p>
    <w:p>
      <w:pPr>
        <w:spacing w:before="0" w:after="0" w:line="240" w:lineRule="auto"/>
        <w:rPr>
          <w:b/>
          <w:bCs/>
        </w:rPr>
      </w:pPr>
      <w:r>
        <w:rPr>
          <w:b/>
          <w:bCs/>
        </w:rPr>
        <w:t>A4. Educational Level</w:t>
      </w:r>
    </w:p>
    <w:p>
      <w:pPr>
        <w:spacing w:before="0" w:after="0" w:line="240" w:lineRule="auto"/>
      </w:pPr>
      <w:r>
        <w:t>What is the highest level of education you have completed? (Select one)</w:t>
      </w:r>
    </w:p>
    <w:p>
      <w:pPr>
        <w:numPr>
          <w:ilvl w:val="0"/>
          <w:numId w:val="10"/>
        </w:numPr>
        <w:spacing w:before="0" w:after="0" w:line="240" w:lineRule="auto"/>
      </w:pPr>
      <w:r>
        <w:pict>
          <v:shape id="_x0000_i1038" o:spt="75" type="#_x0000_t75" style="height:18.6pt;width:20.4pt;" filled="f" stroked="f" coordsize="21600,21600">
            <v:path/>
            <v:fill on="f" focussize="0,0"/>
            <v:stroke on="f" joinstyle="miter"/>
            <v:imagedata r:id="rId12" embosscolor="#FFFFFF" o:title=""/>
            <o:lock v:ext="edit" aspectratio="t"/>
            <w10:wrap type="none"/>
            <w10:anchorlock/>
          </v:shape>
        </w:pict>
      </w:r>
      <w:r>
        <w:t>No formal education</w:t>
      </w:r>
    </w:p>
    <w:p>
      <w:pPr>
        <w:numPr>
          <w:ilvl w:val="0"/>
          <w:numId w:val="10"/>
        </w:numPr>
        <w:spacing w:before="0" w:after="0" w:line="240" w:lineRule="auto"/>
      </w:pPr>
      <w:r>
        <w:pict>
          <v:shape id="_x0000_i1039" o:spt="75" type="#_x0000_t75" style="height:18.6pt;width:20.4pt;" filled="f" stroked="f" coordsize="21600,21600">
            <v:path/>
            <v:fill on="f" focussize="0,0"/>
            <v:stroke on="f" joinstyle="miter"/>
            <v:imagedata r:id="rId12" embosscolor="#FFFFFF" o:title=""/>
            <o:lock v:ext="edit" aspectratio="t"/>
            <w10:wrap type="none"/>
            <w10:anchorlock/>
          </v:shape>
        </w:pict>
      </w:r>
      <w:r>
        <w:t>Primary school</w:t>
      </w:r>
    </w:p>
    <w:p>
      <w:pPr>
        <w:numPr>
          <w:ilvl w:val="0"/>
          <w:numId w:val="10"/>
        </w:numPr>
        <w:spacing w:before="0" w:after="0" w:line="240" w:lineRule="auto"/>
      </w:pPr>
      <w:r>
        <w:pict>
          <v:shape id="_x0000_i1040" o:spt="75" type="#_x0000_t75" style="height:18.6pt;width:20.4pt;" filled="f" stroked="f" coordsize="21600,21600">
            <v:path/>
            <v:fill on="f" focussize="0,0"/>
            <v:stroke on="f" joinstyle="miter"/>
            <v:imagedata r:id="rId12" embosscolor="#FFFFFF" o:title=""/>
            <o:lock v:ext="edit" aspectratio="t"/>
            <w10:wrap type="none"/>
            <w10:anchorlock/>
          </v:shape>
        </w:pict>
      </w:r>
      <w:r>
        <w:t>Secondary school</w:t>
      </w:r>
    </w:p>
    <w:p>
      <w:pPr>
        <w:numPr>
          <w:ilvl w:val="0"/>
          <w:numId w:val="10"/>
        </w:numPr>
        <w:spacing w:before="0" w:after="0" w:line="240" w:lineRule="auto"/>
      </w:pPr>
      <w:r>
        <w:pict>
          <v:shape id="_x0000_i1041" o:spt="75" type="#_x0000_t75" style="height:18.6pt;width:20.4pt;" filled="f" stroked="f" coordsize="21600,21600">
            <v:path/>
            <v:fill on="f" focussize="0,0"/>
            <v:stroke on="f" joinstyle="miter"/>
            <v:imagedata r:id="rId12" embosscolor="#FFFFFF" o:title=""/>
            <o:lock v:ext="edit" aspectratio="t"/>
            <w10:wrap type="none"/>
            <w10:anchorlock/>
          </v:shape>
        </w:pict>
      </w:r>
      <w:r>
        <w:t>Certificate/Diploma</w:t>
      </w:r>
    </w:p>
    <w:p>
      <w:pPr>
        <w:numPr>
          <w:ilvl w:val="0"/>
          <w:numId w:val="10"/>
        </w:numPr>
        <w:spacing w:before="0" w:after="0" w:line="240" w:lineRule="auto"/>
      </w:pPr>
      <w:r>
        <w:pict>
          <v:shape id="_x0000_i1042" o:spt="75" type="#_x0000_t75" style="height:18.6pt;width:20.4pt;" filled="f" stroked="f" coordsize="21600,21600">
            <v:path/>
            <v:fill on="f" focussize="0,0"/>
            <v:stroke on="f" joinstyle="miter"/>
            <v:imagedata r:id="rId12" embosscolor="#FFFFFF" o:title=""/>
            <o:lock v:ext="edit" aspectratio="t"/>
            <w10:wrap type="none"/>
            <w10:anchorlock/>
          </v:shape>
        </w:pict>
      </w:r>
      <w:r>
        <w:t>Bachelor's degree</w:t>
      </w:r>
    </w:p>
    <w:p>
      <w:pPr>
        <w:numPr>
          <w:ilvl w:val="0"/>
          <w:numId w:val="10"/>
        </w:numPr>
        <w:spacing w:before="0" w:after="0" w:line="240" w:lineRule="auto"/>
      </w:pPr>
      <w:r>
        <w:pict>
          <v:shape id="_x0000_i1043" o:spt="75" type="#_x0000_t75" style="height:18.6pt;width:20.4pt;" filled="f" stroked="f" coordsize="21600,21600">
            <v:path/>
            <v:fill on="f" focussize="0,0"/>
            <v:stroke on="f" joinstyle="miter"/>
            <v:imagedata r:id="rId12" embosscolor="#FFFFFF" o:title=""/>
            <o:lock v:ext="edit" aspectratio="t"/>
            <w10:wrap type="none"/>
            <w10:anchorlock/>
          </v:shape>
        </w:pict>
      </w:r>
      <w:r>
        <w:t>Master's degree</w:t>
      </w:r>
    </w:p>
    <w:p>
      <w:pPr>
        <w:numPr>
          <w:ilvl w:val="0"/>
          <w:numId w:val="10"/>
        </w:numPr>
        <w:spacing w:before="0" w:after="0" w:line="240" w:lineRule="auto"/>
      </w:pPr>
      <w:r>
        <w:pict>
          <v:shape id="_x0000_i1044" o:spt="75" type="#_x0000_t75" style="height:18.6pt;width:20.4pt;" filled="f" stroked="f" coordsize="21600,21600">
            <v:path/>
            <v:fill on="f" focussize="0,0"/>
            <v:stroke on="f" joinstyle="miter"/>
            <v:imagedata r:id="rId12" embosscolor="#FFFFFF" o:title=""/>
            <o:lock v:ext="edit" aspectratio="t"/>
            <w10:wrap type="none"/>
            <w10:anchorlock/>
          </v:shape>
        </w:pict>
      </w:r>
      <w:r>
        <w:t>Doctoral degree</w:t>
      </w:r>
    </w:p>
    <w:p>
      <w:pPr>
        <w:spacing w:before="0" w:after="0" w:line="240" w:lineRule="auto"/>
        <w:rPr>
          <w:b/>
          <w:bCs/>
        </w:rPr>
      </w:pPr>
      <w:r>
        <w:rPr>
          <w:b/>
          <w:bCs/>
        </w:rPr>
        <w:t>A5. Employment Status</w:t>
      </w:r>
    </w:p>
    <w:p>
      <w:pPr>
        <w:spacing w:before="0" w:after="0" w:line="240" w:lineRule="auto"/>
      </w:pPr>
      <w:r>
        <w:t>What is your current employment status? (Select one)</w:t>
      </w:r>
    </w:p>
    <w:p>
      <w:pPr>
        <w:numPr>
          <w:ilvl w:val="0"/>
          <w:numId w:val="11"/>
        </w:numPr>
        <w:spacing w:before="0" w:after="0" w:line="240" w:lineRule="auto"/>
      </w:pPr>
      <w:r>
        <w:pict>
          <v:shape id="_x0000_i1045" o:spt="75" type="#_x0000_t75" style="height:18.6pt;width:20.4pt;" filled="f" stroked="f" coordsize="21600,21600">
            <v:path/>
            <v:fill on="f" focussize="0,0"/>
            <v:stroke on="f" joinstyle="miter"/>
            <v:imagedata r:id="rId12" embosscolor="#FFFFFF" o:title=""/>
            <o:lock v:ext="edit" aspectratio="t"/>
            <w10:wrap type="none"/>
            <w10:anchorlock/>
          </v:shape>
        </w:pict>
      </w:r>
      <w:r>
        <w:t>Employed (Full-time government employee)</w:t>
      </w:r>
    </w:p>
    <w:p>
      <w:pPr>
        <w:numPr>
          <w:ilvl w:val="0"/>
          <w:numId w:val="11"/>
        </w:numPr>
        <w:spacing w:before="0" w:after="0" w:line="240" w:lineRule="auto"/>
      </w:pPr>
      <w:r>
        <w:pict>
          <v:shape id="_x0000_i1046" o:spt="75" type="#_x0000_t75" style="height:18.6pt;width:20.4pt;" filled="f" stroked="f" coordsize="21600,21600">
            <v:path/>
            <v:fill on="f" focussize="0,0"/>
            <v:stroke on="f" joinstyle="miter"/>
            <v:imagedata r:id="rId12" embosscolor="#FFFFFF" o:title=""/>
            <o:lock v:ext="edit" aspectratio="t"/>
            <w10:wrap type="none"/>
            <w10:anchorlock/>
          </v:shape>
        </w:pict>
      </w:r>
      <w:r>
        <w:t>Employed (Part-time government employee)</w:t>
      </w:r>
    </w:p>
    <w:p>
      <w:pPr>
        <w:numPr>
          <w:ilvl w:val="0"/>
          <w:numId w:val="11"/>
        </w:numPr>
        <w:spacing w:before="0" w:after="0" w:line="240" w:lineRule="auto"/>
      </w:pPr>
      <w:r>
        <w:pict>
          <v:shape id="_x0000_i1047" o:spt="75" type="#_x0000_t75" style="height:18.6pt;width:20.4pt;" filled="f" stroked="f" coordsize="21600,21600">
            <v:path/>
            <v:fill on="f" focussize="0,0"/>
            <v:stroke on="f" joinstyle="miter"/>
            <v:imagedata r:id="rId12" embosscolor="#FFFFFF" o:title=""/>
            <o:lock v:ext="edit" aspectratio="t"/>
            <w10:wrap type="none"/>
            <w10:anchorlock/>
          </v:shape>
        </w:pict>
      </w:r>
      <w:r>
        <w:t>Self-employed</w:t>
      </w:r>
    </w:p>
    <w:p>
      <w:pPr>
        <w:numPr>
          <w:ilvl w:val="0"/>
          <w:numId w:val="11"/>
        </w:numPr>
        <w:spacing w:before="0" w:after="0" w:line="240" w:lineRule="auto"/>
      </w:pPr>
      <w:r>
        <w:pict>
          <v:shape id="_x0000_i1048" o:spt="75" type="#_x0000_t75" style="height:18.6pt;width:20.4pt;" filled="f" stroked="f" coordsize="21600,21600">
            <v:path/>
            <v:fill on="f" focussize="0,0"/>
            <v:stroke on="f" joinstyle="miter"/>
            <v:imagedata r:id="rId12" embosscolor="#FFFFFF" o:title=""/>
            <o:lock v:ext="edit" aspectratio="t"/>
            <w10:wrap type="none"/>
            <w10:anchorlock/>
          </v:shape>
        </w:pict>
      </w:r>
      <w:r>
        <w:t>Unemployed</w:t>
      </w:r>
    </w:p>
    <w:p>
      <w:pPr>
        <w:numPr>
          <w:ilvl w:val="0"/>
          <w:numId w:val="11"/>
        </w:numPr>
        <w:spacing w:before="0" w:after="0" w:line="240" w:lineRule="auto"/>
      </w:pPr>
      <w:r>
        <w:pict>
          <v:shape id="_x0000_i1049" o:spt="75" type="#_x0000_t75" style="height:18.6pt;width:20.4pt;" filled="f" stroked="f" coordsize="21600,21600">
            <v:path/>
            <v:fill on="f" focussize="0,0"/>
            <v:stroke on="f" joinstyle="miter"/>
            <v:imagedata r:id="rId12" embosscolor="#FFFFFF" o:title=""/>
            <o:lock v:ext="edit" aspectratio="t"/>
            <w10:wrap type="none"/>
            <w10:anchorlock/>
          </v:shape>
        </w:pict>
      </w:r>
      <w:r>
        <w:t>Retired</w:t>
      </w:r>
    </w:p>
    <w:p>
      <w:pPr>
        <w:numPr>
          <w:ilvl w:val="0"/>
          <w:numId w:val="11"/>
        </w:numPr>
        <w:spacing w:before="0" w:after="0" w:line="240" w:lineRule="auto"/>
      </w:pPr>
      <w:r>
        <w:pict>
          <v:shape id="_x0000_i1050" o:spt="75" type="#_x0000_t75" style="height:18.6pt;width:20.4pt;" filled="f" stroked="f" coordsize="21600,21600">
            <v:path/>
            <v:fill on="f" focussize="0,0"/>
            <v:stroke on="f" joinstyle="miter"/>
            <v:imagedata r:id="rId12" embosscolor="#FFFFFF" o:title=""/>
            <o:lock v:ext="edit" aspectratio="t"/>
            <w10:wrap type="none"/>
            <w10:anchorlock/>
          </v:shape>
        </w:pict>
      </w:r>
      <w:r>
        <w:t>Other (Please specify): ______________</w:t>
      </w:r>
    </w:p>
    <w:p>
      <w:pPr>
        <w:spacing w:before="0" w:after="0" w:line="240" w:lineRule="auto"/>
        <w:rPr>
          <w:b/>
          <w:bCs/>
        </w:rPr>
      </w:pPr>
      <w:r>
        <w:rPr>
          <w:b/>
          <w:bCs/>
        </w:rPr>
        <w:t>A6. Job Position/Title</w:t>
      </w:r>
    </w:p>
    <w:p>
      <w:pPr>
        <w:spacing w:before="0" w:after="0" w:line="240" w:lineRule="auto"/>
      </w:pPr>
      <w:r>
        <w:t>What is your current job position or title in the public sector? (Select one)</w:t>
      </w:r>
    </w:p>
    <w:p>
      <w:pPr>
        <w:numPr>
          <w:ilvl w:val="0"/>
          <w:numId w:val="12"/>
        </w:numPr>
        <w:spacing w:before="0" w:after="0" w:line="240" w:lineRule="auto"/>
      </w:pPr>
      <w:r>
        <w:pict>
          <v:shape id="_x0000_i1051" o:spt="75" type="#_x0000_t75" style="height:18.6pt;width:20.4pt;" filled="f" stroked="f" coordsize="21600,21600">
            <v:path/>
            <v:fill on="f" focussize="0,0"/>
            <v:stroke on="f" joinstyle="miter"/>
            <v:imagedata r:id="rId12" embosscolor="#FFFFFF" o:title=""/>
            <o:lock v:ext="edit" aspectratio="t"/>
            <w10:wrap type="none"/>
            <w10:anchorlock/>
          </v:shape>
        </w:pict>
      </w:r>
      <w:r>
        <w:t>Junior staff</w:t>
      </w:r>
    </w:p>
    <w:p>
      <w:pPr>
        <w:numPr>
          <w:ilvl w:val="0"/>
          <w:numId w:val="12"/>
        </w:numPr>
        <w:spacing w:before="0" w:after="0" w:line="240" w:lineRule="auto"/>
      </w:pPr>
      <w:r>
        <w:pict>
          <v:shape id="_x0000_i1052" o:spt="75" type="#_x0000_t75" style="height:18.6pt;width:20.4pt;" filled="f" stroked="f" coordsize="21600,21600">
            <v:path/>
            <v:fill on="f" focussize="0,0"/>
            <v:stroke on="f" joinstyle="miter"/>
            <v:imagedata r:id="rId12" embosscolor="#FFFFFF" o:title=""/>
            <o:lock v:ext="edit" aspectratio="t"/>
            <w10:wrap type="none"/>
            <w10:anchorlock/>
          </v:shape>
        </w:pict>
      </w:r>
      <w:r>
        <w:t>Senior staff</w:t>
      </w:r>
    </w:p>
    <w:p>
      <w:pPr>
        <w:numPr>
          <w:ilvl w:val="0"/>
          <w:numId w:val="12"/>
        </w:numPr>
        <w:spacing w:before="0" w:after="0" w:line="240" w:lineRule="auto"/>
      </w:pPr>
      <w:r>
        <w:pict>
          <v:shape id="_x0000_i1053" o:spt="75" type="#_x0000_t75" style="height:18.6pt;width:20.4pt;" filled="f" stroked="f" coordsize="21600,21600">
            <v:path/>
            <v:fill on="f" focussize="0,0"/>
            <v:stroke on="f" joinstyle="miter"/>
            <v:imagedata r:id="rId12" embosscolor="#FFFFFF" o:title=""/>
            <o:lock v:ext="edit" aspectratio="t"/>
            <w10:wrap type="none"/>
            <w10:anchorlock/>
          </v:shape>
        </w:pict>
      </w:r>
      <w:r>
        <w:t>Managerial level</w:t>
      </w:r>
    </w:p>
    <w:p>
      <w:pPr>
        <w:numPr>
          <w:ilvl w:val="0"/>
          <w:numId w:val="12"/>
        </w:numPr>
        <w:spacing w:before="0" w:after="0" w:line="240" w:lineRule="auto"/>
      </w:pPr>
      <w:r>
        <w:pict>
          <v:shape id="_x0000_i1054" o:spt="75" type="#_x0000_t75" style="height:18.6pt;width:20.4pt;" filled="f" stroked="f" coordsize="21600,21600">
            <v:path/>
            <v:fill on="f" focussize="0,0"/>
            <v:stroke on="f" joinstyle="miter"/>
            <v:imagedata r:id="rId12" embosscolor="#FFFFFF" o:title=""/>
            <o:lock v:ext="edit" aspectratio="t"/>
            <w10:wrap type="none"/>
            <w10:anchorlock/>
          </v:shape>
        </w:pict>
      </w:r>
      <w:r>
        <w:t>Executive/Director</w:t>
      </w:r>
    </w:p>
    <w:p>
      <w:pPr>
        <w:numPr>
          <w:ilvl w:val="0"/>
          <w:numId w:val="12"/>
        </w:numPr>
        <w:spacing w:before="0" w:after="0" w:line="240" w:lineRule="auto"/>
      </w:pPr>
      <w:r>
        <w:pict>
          <v:shape id="_x0000_i1055" o:spt="75" type="#_x0000_t75" style="height:18.6pt;width:20.4pt;" filled="f" stroked="f" coordsize="21600,21600">
            <v:path/>
            <v:fill on="f" focussize="0,0"/>
            <v:stroke on="f" joinstyle="miter"/>
            <v:imagedata r:id="rId12" embosscolor="#FFFFFF" o:title=""/>
            <o:lock v:ext="edit" aspectratio="t"/>
            <w10:wrap type="none"/>
            <w10:anchorlock/>
          </v:shape>
        </w:pict>
      </w:r>
      <w:r>
        <w:t>Other (Please specify): ______________</w:t>
      </w:r>
    </w:p>
    <w:p>
      <w:pPr>
        <w:spacing w:before="0" w:after="0" w:line="240" w:lineRule="auto"/>
        <w:rPr>
          <w:b/>
          <w:bCs/>
        </w:rPr>
      </w:pPr>
      <w:r>
        <w:rPr>
          <w:b/>
          <w:bCs/>
        </w:rPr>
        <w:t>A7. Department or Ministry</w:t>
      </w:r>
    </w:p>
    <w:p>
      <w:pPr>
        <w:spacing w:before="0" w:after="0" w:line="240" w:lineRule="auto"/>
      </w:pPr>
      <w:r>
        <w:t>Which government department, ministry, or agency do you work for? (Please specify)</w:t>
      </w:r>
    </w:p>
    <w:p>
      <w:pPr>
        <w:numPr>
          <w:ilvl w:val="0"/>
          <w:numId w:val="13"/>
        </w:numPr>
        <w:spacing w:before="0" w:after="0" w:line="240" w:lineRule="auto"/>
      </w:pPr>
      <w:r>
        <w:pict>
          <v:shape id="_x0000_i1056" o:spt="75" type="#_x0000_t75" style="height:18.6pt;width:20.4pt;" filled="f" stroked="f" coordsize="21600,21600">
            <v:path/>
            <v:fill on="f" focussize="0,0"/>
            <v:stroke on="f" joinstyle="miter"/>
            <v:imagedata r:id="rId12" embosscolor="#FFFFFF" o:title=""/>
            <o:lock v:ext="edit" aspectratio="t"/>
            <w10:wrap type="none"/>
            <w10:anchorlock/>
          </v:shape>
        </w:pict>
      </w:r>
      <w:r>
        <w:t>_________________________</w:t>
      </w:r>
    </w:p>
    <w:p>
      <w:pPr>
        <w:spacing w:before="0" w:after="0" w:line="240" w:lineRule="auto"/>
        <w:rPr>
          <w:b/>
          <w:bCs/>
        </w:rPr>
      </w:pPr>
      <w:r>
        <w:rPr>
          <w:b/>
          <w:bCs/>
        </w:rPr>
        <w:t>A8. Years of Service</w:t>
      </w:r>
    </w:p>
    <w:p>
      <w:pPr>
        <w:spacing w:before="0" w:after="0" w:line="240" w:lineRule="auto"/>
      </w:pPr>
      <w:r>
        <w:t>How many years have you worked in the public service?</w:t>
      </w:r>
    </w:p>
    <w:p>
      <w:pPr>
        <w:numPr>
          <w:ilvl w:val="0"/>
          <w:numId w:val="14"/>
        </w:numPr>
        <w:spacing w:before="0" w:after="0" w:line="240" w:lineRule="auto"/>
      </w:pPr>
      <w:r>
        <w:pict>
          <v:shape id="_x0000_i1057" o:spt="75" type="#_x0000_t75" style="height:18.6pt;width:20.4pt;" filled="f" stroked="f" coordsize="21600,21600">
            <v:path/>
            <v:fill on="f" focussize="0,0"/>
            <v:stroke on="f" joinstyle="miter"/>
            <v:imagedata r:id="rId12" embosscolor="#FFFFFF" o:title=""/>
            <o:lock v:ext="edit" aspectratio="t"/>
            <w10:wrap type="none"/>
            <w10:anchorlock/>
          </v:shape>
        </w:pict>
      </w:r>
      <w:r>
        <w:t>Less than 1 year</w:t>
      </w:r>
    </w:p>
    <w:p>
      <w:pPr>
        <w:numPr>
          <w:ilvl w:val="0"/>
          <w:numId w:val="14"/>
        </w:numPr>
        <w:spacing w:before="0" w:after="0" w:line="240" w:lineRule="auto"/>
      </w:pPr>
      <w:r>
        <w:pict>
          <v:shape id="_x0000_i1058" o:spt="75" type="#_x0000_t75" style="height:18.6pt;width:20.4pt;" filled="f" stroked="f" coordsize="21600,21600">
            <v:path/>
            <v:fill on="f" focussize="0,0"/>
            <v:stroke on="f" joinstyle="miter"/>
            <v:imagedata r:id="rId12" embosscolor="#FFFFFF" o:title=""/>
            <o:lock v:ext="edit" aspectratio="t"/>
            <w10:wrap type="none"/>
            <w10:anchorlock/>
          </v:shape>
        </w:pict>
      </w:r>
      <w:r>
        <w:t>1-5 years</w:t>
      </w:r>
    </w:p>
    <w:p>
      <w:pPr>
        <w:numPr>
          <w:ilvl w:val="0"/>
          <w:numId w:val="14"/>
        </w:numPr>
        <w:spacing w:before="0" w:after="0" w:line="240" w:lineRule="auto"/>
      </w:pPr>
      <w:r>
        <w:pict>
          <v:shape id="_x0000_i1059" o:spt="75" type="#_x0000_t75" style="height:18.6pt;width:20.4pt;" filled="f" stroked="f" coordsize="21600,21600">
            <v:path/>
            <v:fill on="f" focussize="0,0"/>
            <v:stroke on="f" joinstyle="miter"/>
            <v:imagedata r:id="rId12" embosscolor="#FFFFFF" o:title=""/>
            <o:lock v:ext="edit" aspectratio="t"/>
            <w10:wrap type="none"/>
            <w10:anchorlock/>
          </v:shape>
        </w:pict>
      </w:r>
      <w:r>
        <w:t>6-10 years</w:t>
      </w:r>
    </w:p>
    <w:p>
      <w:pPr>
        <w:numPr>
          <w:ilvl w:val="0"/>
          <w:numId w:val="14"/>
        </w:numPr>
        <w:spacing w:before="0" w:after="0" w:line="240" w:lineRule="auto"/>
      </w:pPr>
      <w:r>
        <w:pict>
          <v:shape id="_x0000_i1060" o:spt="75" type="#_x0000_t75" style="height:18.6pt;width:20.4pt;" filled="f" stroked="f" coordsize="21600,21600">
            <v:path/>
            <v:fill on="f" focussize="0,0"/>
            <v:stroke on="f" joinstyle="miter"/>
            <v:imagedata r:id="rId12" embosscolor="#FFFFFF" o:title=""/>
            <o:lock v:ext="edit" aspectratio="t"/>
            <w10:wrap type="none"/>
            <w10:anchorlock/>
          </v:shape>
        </w:pict>
      </w:r>
      <w:r>
        <w:t>11-20 years</w:t>
      </w:r>
    </w:p>
    <w:p>
      <w:pPr>
        <w:numPr>
          <w:ilvl w:val="0"/>
          <w:numId w:val="14"/>
        </w:numPr>
        <w:spacing w:before="0" w:after="0" w:line="240" w:lineRule="auto"/>
      </w:pPr>
      <w:r>
        <w:pict>
          <v:shape id="_x0000_i1061" o:spt="75" type="#_x0000_t75" style="height:18.6pt;width:20.4pt;" filled="f" stroked="f" coordsize="21600,21600">
            <v:path/>
            <v:fill on="f" focussize="0,0"/>
            <v:stroke on="f" joinstyle="miter"/>
            <v:imagedata r:id="rId12" embosscolor="#FFFFFF" o:title=""/>
            <o:lock v:ext="edit" aspectratio="t"/>
            <w10:wrap type="none"/>
            <w10:anchorlock/>
          </v:shape>
        </w:pict>
      </w:r>
      <w:r>
        <w:t>More than 20 years</w:t>
      </w:r>
    </w:p>
    <w:p>
      <w:pPr>
        <w:spacing w:before="0" w:after="0" w:line="240" w:lineRule="auto"/>
        <w:rPr>
          <w:b/>
          <w:bCs/>
        </w:rPr>
      </w:pPr>
      <w:r>
        <w:rPr>
          <w:b/>
          <w:bCs/>
        </w:rPr>
        <w:t>A9. Monthly Income</w:t>
      </w:r>
    </w:p>
    <w:p>
      <w:pPr>
        <w:spacing w:before="0" w:after="0" w:line="240" w:lineRule="auto"/>
      </w:pPr>
      <w:r>
        <w:t>What is your average monthly income (before deductions)? (Select one)</w:t>
      </w:r>
    </w:p>
    <w:p>
      <w:pPr>
        <w:numPr>
          <w:ilvl w:val="0"/>
          <w:numId w:val="15"/>
        </w:numPr>
        <w:spacing w:before="0" w:after="0" w:line="240" w:lineRule="auto"/>
      </w:pPr>
      <w:r>
        <w:pict>
          <v:shape id="_x0000_i1062" o:spt="75" type="#_x0000_t75" style="height:18.6pt;width:20.4pt;" filled="f" stroked="f" coordsize="21600,21600">
            <v:path/>
            <v:fill on="f" focussize="0,0"/>
            <v:stroke on="f" joinstyle="miter"/>
            <v:imagedata r:id="rId12" embosscolor="#FFFFFF" o:title=""/>
            <o:lock v:ext="edit" aspectratio="t"/>
            <w10:wrap type="none"/>
            <w10:anchorlock/>
          </v:shape>
        </w:pict>
      </w:r>
      <w:r>
        <w:t>Less than 500,000 TZS</w:t>
      </w:r>
    </w:p>
    <w:p>
      <w:pPr>
        <w:numPr>
          <w:ilvl w:val="0"/>
          <w:numId w:val="15"/>
        </w:numPr>
        <w:spacing w:before="0" w:after="0" w:line="240" w:lineRule="auto"/>
      </w:pPr>
      <w:r>
        <w:pict>
          <v:shape id="_x0000_i1063" o:spt="75" type="#_x0000_t75" style="height:18.6pt;width:20.4pt;" filled="f" stroked="f" coordsize="21600,21600">
            <v:path/>
            <v:fill on="f" focussize="0,0"/>
            <v:stroke on="f" joinstyle="miter"/>
            <v:imagedata r:id="rId12" embosscolor="#FFFFFF" o:title=""/>
            <o:lock v:ext="edit" aspectratio="t"/>
            <w10:wrap type="none"/>
            <w10:anchorlock/>
          </v:shape>
        </w:pict>
      </w:r>
      <w:r>
        <w:t>500,000 – 999,999 TZS</w:t>
      </w:r>
    </w:p>
    <w:p>
      <w:pPr>
        <w:numPr>
          <w:ilvl w:val="0"/>
          <w:numId w:val="15"/>
        </w:numPr>
        <w:spacing w:before="0" w:after="0" w:line="240" w:lineRule="auto"/>
      </w:pPr>
      <w:r>
        <w:pict>
          <v:shape id="_x0000_i1064" o:spt="75" type="#_x0000_t75" style="height:18.6pt;width:20.4pt;" filled="f" stroked="f" coordsize="21600,21600">
            <v:path/>
            <v:fill on="f" focussize="0,0"/>
            <v:stroke on="f" joinstyle="miter"/>
            <v:imagedata r:id="rId12" embosscolor="#FFFFFF" o:title=""/>
            <o:lock v:ext="edit" aspectratio="t"/>
            <w10:wrap type="none"/>
            <w10:anchorlock/>
          </v:shape>
        </w:pict>
      </w:r>
      <w:r>
        <w:t>1,000,000 – 1,499,999 TZS</w:t>
      </w:r>
    </w:p>
    <w:p>
      <w:pPr>
        <w:numPr>
          <w:ilvl w:val="0"/>
          <w:numId w:val="15"/>
        </w:numPr>
        <w:spacing w:before="0" w:after="0" w:line="240" w:lineRule="auto"/>
      </w:pPr>
      <w:r>
        <w:pict>
          <v:shape id="_x0000_i1065" o:spt="75" type="#_x0000_t75" style="height:18.6pt;width:20.4pt;" filled="f" stroked="f" coordsize="21600,21600">
            <v:path/>
            <v:fill on="f" focussize="0,0"/>
            <v:stroke on="f" joinstyle="miter"/>
            <v:imagedata r:id="rId12" embosscolor="#FFFFFF" o:title=""/>
            <o:lock v:ext="edit" aspectratio="t"/>
            <w10:wrap type="none"/>
            <w10:anchorlock/>
          </v:shape>
        </w:pict>
      </w:r>
      <w:r>
        <w:t>1,500,000 – 1,999,999 TZS</w:t>
      </w:r>
    </w:p>
    <w:p>
      <w:pPr>
        <w:numPr>
          <w:ilvl w:val="0"/>
          <w:numId w:val="15"/>
        </w:numPr>
        <w:spacing w:before="0" w:after="0" w:line="240" w:lineRule="auto"/>
      </w:pPr>
      <w:r>
        <w:pict>
          <v:shape id="_x0000_i1066" o:spt="75" type="#_x0000_t75" style="height:18.6pt;width:20.4pt;" filled="f" stroked="f" coordsize="21600,21600">
            <v:path/>
            <v:fill on="f" focussize="0,0"/>
            <v:stroke on="f" joinstyle="miter"/>
            <v:imagedata r:id="rId12" embosscolor="#FFFFFF" o:title=""/>
            <o:lock v:ext="edit" aspectratio="t"/>
            <w10:wrap type="none"/>
            <w10:anchorlock/>
          </v:shape>
        </w:pict>
      </w:r>
      <w:r>
        <w:t>2,000,000 TZS and above</w:t>
      </w:r>
    </w:p>
    <w:p>
      <w:pPr>
        <w:spacing w:before="0" w:after="0" w:line="240" w:lineRule="auto"/>
        <w:rPr>
          <w:b/>
          <w:bCs/>
        </w:rPr>
      </w:pPr>
      <w:r>
        <w:rPr>
          <w:b/>
          <w:bCs/>
        </w:rPr>
        <w:t>A10. Type of Disability (if applicable)</w:t>
      </w:r>
    </w:p>
    <w:p>
      <w:pPr>
        <w:spacing w:before="0" w:after="0" w:line="240" w:lineRule="auto"/>
      </w:pPr>
      <w:r>
        <w:t>Do you have any disability? (Select one)</w:t>
      </w:r>
    </w:p>
    <w:p>
      <w:pPr>
        <w:numPr>
          <w:ilvl w:val="0"/>
          <w:numId w:val="16"/>
        </w:numPr>
        <w:spacing w:before="0" w:after="0" w:line="240" w:lineRule="auto"/>
      </w:pPr>
      <w:r>
        <w:pict>
          <v:shape id="_x0000_i1067" o:spt="75" type="#_x0000_t75" style="height:18.6pt;width:20.4pt;" filled="f" stroked="f" coordsize="21600,21600">
            <v:path/>
            <v:fill on="f" focussize="0,0"/>
            <v:stroke on="f" joinstyle="miter"/>
            <v:imagedata r:id="rId12" embosscolor="#FFFFFF" o:title=""/>
            <o:lock v:ext="edit" aspectratio="t"/>
            <w10:wrap type="none"/>
            <w10:anchorlock/>
          </v:shape>
        </w:pict>
      </w:r>
      <w:r>
        <w:t>Yes</w:t>
      </w:r>
    </w:p>
    <w:p>
      <w:pPr>
        <w:numPr>
          <w:ilvl w:val="0"/>
          <w:numId w:val="16"/>
        </w:numPr>
        <w:spacing w:before="0" w:after="0" w:line="240" w:lineRule="auto"/>
      </w:pPr>
      <w:r>
        <w:pict>
          <v:shape id="_x0000_i1068" o:spt="75" type="#_x0000_t75" style="height:18.6pt;width:20.4pt;" filled="f" stroked="f" coordsize="21600,21600">
            <v:path/>
            <v:fill on="f" focussize="0,0"/>
            <v:stroke on="f" joinstyle="miter"/>
            <v:imagedata r:id="rId12" embosscolor="#FFFFFF" o:title=""/>
            <o:lock v:ext="edit" aspectratio="t"/>
            <w10:wrap type="none"/>
            <w10:anchorlock/>
          </v:shape>
        </w:pict>
      </w:r>
      <w:r>
        <w:t>No</w:t>
      </w:r>
    </w:p>
    <w:p>
      <w:pPr>
        <w:spacing w:before="0" w:after="0" w:line="240" w:lineRule="auto"/>
      </w:pPr>
      <w:r>
        <w:t>If yes, what type of disability do you have? (Select all that apply)</w:t>
      </w:r>
    </w:p>
    <w:p>
      <w:pPr>
        <w:numPr>
          <w:ilvl w:val="0"/>
          <w:numId w:val="17"/>
        </w:numPr>
        <w:spacing w:before="0" w:after="0" w:line="240" w:lineRule="auto"/>
      </w:pPr>
      <w:r>
        <w:pict>
          <v:shape id="_x0000_i1069" o:spt="75" type="#_x0000_t75" style="height:18.6pt;width:20.4pt;" filled="f" stroked="f" coordsize="21600,21600">
            <v:path/>
            <v:fill on="f" focussize="0,0"/>
            <v:stroke on="f" joinstyle="miter"/>
            <v:imagedata r:id="rId12" embosscolor="#FFFFFF" o:title=""/>
            <o:lock v:ext="edit" aspectratio="t"/>
            <w10:wrap type="none"/>
            <w10:anchorlock/>
          </v:shape>
        </w:pict>
      </w:r>
      <w:r>
        <w:t>Physical disability</w:t>
      </w:r>
    </w:p>
    <w:p>
      <w:pPr>
        <w:numPr>
          <w:ilvl w:val="0"/>
          <w:numId w:val="17"/>
        </w:numPr>
        <w:spacing w:before="0" w:after="0" w:line="240" w:lineRule="auto"/>
      </w:pPr>
      <w:r>
        <w:pict>
          <v:shape id="_x0000_i1070" o:spt="75" type="#_x0000_t75" style="height:18.6pt;width:20.4pt;" filled="f" stroked="f" coordsize="21600,21600">
            <v:path/>
            <v:fill on="f" focussize="0,0"/>
            <v:stroke on="f" joinstyle="miter"/>
            <v:imagedata r:id="rId12" embosscolor="#FFFFFF" o:title=""/>
            <o:lock v:ext="edit" aspectratio="t"/>
            <w10:wrap type="none"/>
            <w10:anchorlock/>
          </v:shape>
        </w:pict>
      </w:r>
      <w:r>
        <w:t>Visual impairment</w:t>
      </w:r>
    </w:p>
    <w:p>
      <w:pPr>
        <w:numPr>
          <w:ilvl w:val="0"/>
          <w:numId w:val="17"/>
        </w:numPr>
        <w:spacing w:before="0" w:after="0" w:line="240" w:lineRule="auto"/>
      </w:pPr>
      <w:r>
        <w:pict>
          <v:shape id="_x0000_i1071" o:spt="75" type="#_x0000_t75" style="height:18.6pt;width:20.4pt;" filled="f" stroked="f" coordsize="21600,21600">
            <v:path/>
            <v:fill on="f" focussize="0,0"/>
            <v:stroke on="f" joinstyle="miter"/>
            <v:imagedata r:id="rId12" embosscolor="#FFFFFF" o:title=""/>
            <o:lock v:ext="edit" aspectratio="t"/>
            <w10:wrap type="none"/>
            <w10:anchorlock/>
          </v:shape>
        </w:pict>
      </w:r>
      <w:r>
        <w:t>Hearing impairment</w:t>
      </w:r>
    </w:p>
    <w:p>
      <w:pPr>
        <w:numPr>
          <w:ilvl w:val="0"/>
          <w:numId w:val="17"/>
        </w:numPr>
        <w:spacing w:before="0" w:after="0" w:line="240" w:lineRule="auto"/>
      </w:pPr>
      <w:r>
        <w:pict>
          <v:shape id="_x0000_i1072" o:spt="75" type="#_x0000_t75" style="height:18.6pt;width:20.4pt;" filled="f" stroked="f" coordsize="21600,21600">
            <v:path/>
            <v:fill on="f" focussize="0,0"/>
            <v:stroke on="f" joinstyle="miter"/>
            <v:imagedata r:id="rId12" embosscolor="#FFFFFF" o:title=""/>
            <o:lock v:ext="edit" aspectratio="t"/>
            <w10:wrap type="none"/>
            <w10:anchorlock/>
          </v:shape>
        </w:pict>
      </w:r>
      <w:r>
        <w:t>Intellectual disability</w:t>
      </w:r>
    </w:p>
    <w:p>
      <w:pPr>
        <w:numPr>
          <w:ilvl w:val="0"/>
          <w:numId w:val="17"/>
        </w:numPr>
        <w:spacing w:before="0" w:after="0" w:line="240" w:lineRule="auto"/>
      </w:pPr>
      <w:r>
        <w:pict>
          <v:shape id="_x0000_i1073" o:spt="75" type="#_x0000_t75" style="height:18.6pt;width:20.4pt;" filled="f" stroked="f" coordsize="21600,21600">
            <v:path/>
            <v:fill on="f" focussize="0,0"/>
            <v:stroke on="f" joinstyle="miter"/>
            <v:imagedata r:id="rId12" embosscolor="#FFFFFF" o:title=""/>
            <o:lock v:ext="edit" aspectratio="t"/>
            <w10:wrap type="none"/>
            <w10:anchorlock/>
          </v:shape>
        </w:pict>
      </w:r>
      <w:r>
        <w:t>Other (Please specify): ______________</w:t>
      </w:r>
    </w:p>
    <w:p>
      <w:pPr>
        <w:spacing w:before="0" w:after="0" w:line="240" w:lineRule="auto"/>
        <w:rPr>
          <w:b/>
          <w:bCs/>
        </w:rPr>
      </w:pPr>
      <w:r>
        <w:rPr>
          <w:b/>
          <w:bCs/>
        </w:rPr>
        <w:t>A11. Disability Severity (if applicable)</w:t>
      </w:r>
    </w:p>
    <w:p>
      <w:pPr>
        <w:spacing w:before="0" w:after="0" w:line="240" w:lineRule="auto"/>
      </w:pPr>
      <w:r>
        <w:t>(For respondents who answered “Yes” to A10, select applicable disability type)</w:t>
      </w:r>
    </w:p>
    <w:p>
      <w:pPr>
        <w:numPr>
          <w:ilvl w:val="0"/>
          <w:numId w:val="18"/>
        </w:numPr>
        <w:spacing w:before="0" w:after="0" w:line="240" w:lineRule="auto"/>
      </w:pPr>
      <w:r>
        <w:pict>
          <v:shape id="_x0000_i1074" o:spt="75" type="#_x0000_t75" style="height:18.6pt;width:20.4pt;" filled="f" stroked="f" coordsize="21600,21600">
            <v:path/>
            <v:fill on="f" focussize="0,0"/>
            <v:stroke on="f" joinstyle="miter"/>
            <v:imagedata r:id="rId12" embosscolor="#FFFFFF" o:title=""/>
            <o:lock v:ext="edit" aspectratio="t"/>
            <w10:wrap type="none"/>
            <w10:anchorlock/>
          </v:shape>
        </w:pict>
      </w:r>
      <w:r>
        <w:t>Mild</w:t>
      </w:r>
    </w:p>
    <w:p>
      <w:pPr>
        <w:numPr>
          <w:ilvl w:val="0"/>
          <w:numId w:val="18"/>
        </w:numPr>
        <w:spacing w:before="0" w:after="0" w:line="240" w:lineRule="auto"/>
      </w:pPr>
      <w:r>
        <w:pict>
          <v:shape id="_x0000_i1075" o:spt="75" type="#_x0000_t75" style="height:18.6pt;width:20.4pt;" filled="f" stroked="f" coordsize="21600,21600">
            <v:path/>
            <v:fill on="f" focussize="0,0"/>
            <v:stroke on="f" joinstyle="miter"/>
            <v:imagedata r:id="rId12" embosscolor="#FFFFFF" o:title=""/>
            <o:lock v:ext="edit" aspectratio="t"/>
            <w10:wrap type="none"/>
            <w10:anchorlock/>
          </v:shape>
        </w:pict>
      </w:r>
      <w:r>
        <w:t>Moderate</w:t>
      </w:r>
    </w:p>
    <w:p>
      <w:pPr>
        <w:numPr>
          <w:ilvl w:val="0"/>
          <w:numId w:val="18"/>
        </w:numPr>
        <w:spacing w:before="0" w:after="0" w:line="240" w:lineRule="auto"/>
      </w:pPr>
      <w:r>
        <w:pict>
          <v:shape id="_x0000_i1076" o:spt="75" type="#_x0000_t75" style="height:18.6pt;width:20.4pt;" filled="f" stroked="f" coordsize="21600,21600">
            <v:path/>
            <v:fill on="f" focussize="0,0"/>
            <v:stroke on="f" joinstyle="miter"/>
            <v:imagedata r:id="rId12" embosscolor="#FFFFFF" o:title=""/>
            <o:lock v:ext="edit" aspectratio="t"/>
            <w10:wrap type="none"/>
            <w10:anchorlock/>
          </v:shape>
        </w:pict>
      </w:r>
      <w:r>
        <w:t>Severe</w:t>
      </w:r>
    </w:p>
    <w:p>
      <w:pPr>
        <w:numPr>
          <w:ilvl w:val="0"/>
          <w:numId w:val="18"/>
        </w:numPr>
        <w:spacing w:before="0" w:after="0" w:line="240" w:lineRule="auto"/>
      </w:pPr>
      <w:r>
        <w:pict>
          <v:shape id="_x0000_i1077" o:spt="75" type="#_x0000_t75" style="height:18.6pt;width:20.4pt;" filled="f" stroked="f" coordsize="21600,21600">
            <v:path/>
            <v:fill on="f" focussize="0,0"/>
            <v:stroke on="f" joinstyle="miter"/>
            <v:imagedata r:id="rId12" embosscolor="#FFFFFF" o:title=""/>
            <o:lock v:ext="edit" aspectratio="t"/>
            <w10:wrap type="none"/>
            <w10:anchorlock/>
          </v:shape>
        </w:pict>
      </w:r>
      <w:r>
        <w:t>Very severe</w:t>
      </w:r>
    </w:p>
    <w:p>
      <w:pPr>
        <w:spacing w:before="0" w:after="0" w:line="240" w:lineRule="auto"/>
        <w:rPr>
          <w:b/>
          <w:bCs/>
        </w:rPr>
      </w:pPr>
      <w:r>
        <w:rPr>
          <w:b/>
          <w:bCs/>
        </w:rPr>
        <w:t>A12. Residence Location</w:t>
      </w:r>
    </w:p>
    <w:p>
      <w:pPr>
        <w:spacing w:before="0" w:after="0" w:line="240" w:lineRule="auto"/>
      </w:pPr>
      <w:r>
        <w:t>Where do you currently reside? (Select one)</w:t>
      </w:r>
    </w:p>
    <w:p>
      <w:pPr>
        <w:numPr>
          <w:ilvl w:val="0"/>
          <w:numId w:val="19"/>
        </w:numPr>
        <w:spacing w:before="0" w:after="0" w:line="240" w:lineRule="auto"/>
      </w:pPr>
      <w:r>
        <w:pict>
          <v:shape id="_x0000_i1078" o:spt="75" type="#_x0000_t75" style="height:18.6pt;width:20.4pt;" filled="f" stroked="f" coordsize="21600,21600">
            <v:path/>
            <v:fill on="f" focussize="0,0"/>
            <v:stroke on="f" joinstyle="miter"/>
            <v:imagedata r:id="rId12" embosscolor="#FFFFFF" o:title=""/>
            <o:lock v:ext="edit" aspectratio="t"/>
            <w10:wrap type="none"/>
            <w10:anchorlock/>
          </v:shape>
        </w:pict>
      </w:r>
      <w:r>
        <w:t>Urban area</w:t>
      </w:r>
    </w:p>
    <w:p>
      <w:pPr>
        <w:numPr>
          <w:ilvl w:val="0"/>
          <w:numId w:val="19"/>
        </w:numPr>
        <w:spacing w:before="0" w:after="0" w:line="240" w:lineRule="auto"/>
      </w:pPr>
      <w:r>
        <w:pict>
          <v:shape id="_x0000_i1079" o:spt="75" type="#_x0000_t75" style="height:18.6pt;width:20.4pt;" filled="f" stroked="f" coordsize="21600,21600">
            <v:path/>
            <v:fill on="f" focussize="0,0"/>
            <v:stroke on="f" joinstyle="miter"/>
            <v:imagedata r:id="rId12" embosscolor="#FFFFFF" o:title=""/>
            <o:lock v:ext="edit" aspectratio="t"/>
            <w10:wrap type="none"/>
            <w10:anchorlock/>
          </v:shape>
        </w:pict>
      </w:r>
      <w:r>
        <w:t>Rural area</w:t>
      </w:r>
    </w:p>
    <w:p>
      <w:pPr>
        <w:spacing w:before="0" w:after="0" w:line="240" w:lineRule="auto"/>
        <w:rPr>
          <w:b/>
          <w:bCs/>
        </w:rPr>
      </w:pPr>
      <w:r>
        <w:rPr>
          <w:b/>
          <w:bCs/>
        </w:rPr>
        <w:t>A13. Government Position at the National/Local Level</w:t>
      </w:r>
    </w:p>
    <w:p>
      <w:pPr>
        <w:spacing w:before="0" w:after="0" w:line="240" w:lineRule="auto"/>
      </w:pPr>
      <w:r>
        <w:t>Are you stationed at a national, regional, or district level? (Select one)</w:t>
      </w:r>
    </w:p>
    <w:p>
      <w:pPr>
        <w:numPr>
          <w:ilvl w:val="0"/>
          <w:numId w:val="20"/>
        </w:numPr>
        <w:spacing w:before="0" w:after="0" w:line="240" w:lineRule="auto"/>
      </w:pPr>
      <w:r>
        <w:pict>
          <v:shape id="_x0000_i1080" o:spt="75" type="#_x0000_t75" style="height:18.6pt;width:20.4pt;" filled="f" stroked="f" coordsize="21600,21600">
            <v:path/>
            <v:fill on="f" focussize="0,0"/>
            <v:stroke on="f" joinstyle="miter"/>
            <v:imagedata r:id="rId12" embosscolor="#FFFFFF" o:title=""/>
            <o:lock v:ext="edit" aspectratio="t"/>
            <w10:wrap type="none"/>
            <w10:anchorlock/>
          </v:shape>
        </w:pict>
      </w:r>
      <w:r>
        <w:t>National level (e.g., Ministry)</w:t>
      </w:r>
    </w:p>
    <w:p>
      <w:pPr>
        <w:numPr>
          <w:ilvl w:val="0"/>
          <w:numId w:val="20"/>
        </w:numPr>
        <w:spacing w:before="0" w:after="0" w:line="240" w:lineRule="auto"/>
      </w:pPr>
      <w:r>
        <w:pict>
          <v:shape id="_x0000_i1081" o:spt="75" type="#_x0000_t75" style="height:18.6pt;width:20.4pt;" filled="f" stroked="f" coordsize="21600,21600">
            <v:path/>
            <v:fill on="f" focussize="0,0"/>
            <v:stroke on="f" joinstyle="miter"/>
            <v:imagedata r:id="rId12" embosscolor="#FFFFFF" o:title=""/>
            <o:lock v:ext="edit" aspectratio="t"/>
            <w10:wrap type="none"/>
            <w10:anchorlock/>
          </v:shape>
        </w:pict>
      </w:r>
      <w:r>
        <w:t>Regional level</w:t>
      </w:r>
    </w:p>
    <w:p>
      <w:pPr>
        <w:numPr>
          <w:ilvl w:val="0"/>
          <w:numId w:val="20"/>
        </w:numPr>
        <w:spacing w:before="0" w:after="0" w:line="240" w:lineRule="auto"/>
      </w:pPr>
      <w:r>
        <w:pict>
          <v:shape id="_x0000_i1082" o:spt="75" type="#_x0000_t75" style="height:18.6pt;width:20.4pt;" filled="f" stroked="f" coordsize="21600,21600">
            <v:path/>
            <v:fill on="f" focussize="0,0"/>
            <v:stroke on="f" joinstyle="miter"/>
            <v:imagedata r:id="rId12" embosscolor="#FFFFFF" o:title=""/>
            <o:lock v:ext="edit" aspectratio="t"/>
            <w10:wrap type="none"/>
            <w10:anchorlock/>
          </v:shape>
        </w:pict>
      </w:r>
      <w:r>
        <w:t>District level</w:t>
      </w:r>
    </w:p>
    <w:p>
      <w:pPr>
        <w:spacing w:before="0" w:after="0" w:line="240" w:lineRule="auto"/>
        <w:rPr>
          <w:b/>
          <w:bCs/>
        </w:rPr>
      </w:pPr>
      <w:r>
        <w:rPr>
          <w:b/>
          <w:bCs/>
        </w:rPr>
        <w:t>SECTION B: PERCEPTIONS OF WELFARE BENEFITS (Objective 1)</w:t>
      </w:r>
    </w:p>
    <w:p>
      <w:pPr>
        <w:spacing w:before="0" w:after="0" w:line="240" w:lineRule="auto"/>
        <w:rPr>
          <w:b/>
          <w:bCs/>
        </w:rPr>
      </w:pPr>
      <w:r>
        <w:rPr>
          <w:b/>
          <w:bCs/>
        </w:rPr>
        <w:t>B1. Satisfaction with Welfare Benefits</w:t>
      </w:r>
    </w:p>
    <w:p>
      <w:pPr>
        <w:spacing w:before="0" w:after="0" w:line="240" w:lineRule="auto"/>
      </w:pPr>
      <w:r>
        <w:t>How satisfied are you with the welfare benefits provided by the PSSSF after the mergers and acquisitions?</w:t>
      </w:r>
    </w:p>
    <w:p>
      <w:pPr>
        <w:numPr>
          <w:ilvl w:val="0"/>
          <w:numId w:val="21"/>
        </w:numPr>
        <w:spacing w:before="0" w:after="0" w:line="240" w:lineRule="auto"/>
      </w:pPr>
      <w:r>
        <w:pict>
          <v:shape id="_x0000_i1083" o:spt="75" type="#_x0000_t75" style="height:18.6pt;width:20.4pt;" filled="f" stroked="f" coordsize="21600,21600">
            <v:path/>
            <v:fill on="f" focussize="0,0"/>
            <v:stroke on="f" joinstyle="miter"/>
            <v:imagedata r:id="rId12" embosscolor="#FFFFFF" o:title=""/>
            <o:lock v:ext="edit" aspectratio="t"/>
            <w10:wrap type="none"/>
            <w10:anchorlock/>
          </v:shape>
        </w:pict>
      </w:r>
      <w:r>
        <w:t>Very Satisfied</w:t>
      </w:r>
    </w:p>
    <w:p>
      <w:pPr>
        <w:numPr>
          <w:ilvl w:val="0"/>
          <w:numId w:val="21"/>
        </w:numPr>
        <w:spacing w:before="0" w:after="0" w:line="240" w:lineRule="auto"/>
      </w:pPr>
      <w:r>
        <w:pict>
          <v:shape id="_x0000_i1084" o:spt="75" type="#_x0000_t75" style="height:18.6pt;width:20.4pt;" filled="f" stroked="f" coordsize="21600,21600">
            <v:path/>
            <v:fill on="f" focussize="0,0"/>
            <v:stroke on="f" joinstyle="miter"/>
            <v:imagedata r:id="rId12" embosscolor="#FFFFFF" o:title=""/>
            <o:lock v:ext="edit" aspectratio="t"/>
            <w10:wrap type="none"/>
            <w10:anchorlock/>
          </v:shape>
        </w:pict>
      </w:r>
      <w:r>
        <w:t>Satisfied</w:t>
      </w:r>
    </w:p>
    <w:p>
      <w:pPr>
        <w:numPr>
          <w:ilvl w:val="0"/>
          <w:numId w:val="21"/>
        </w:numPr>
        <w:spacing w:before="0" w:after="0" w:line="240" w:lineRule="auto"/>
      </w:pPr>
      <w:r>
        <w:pict>
          <v:shape id="_x0000_i1085" o:spt="75" type="#_x0000_t75" style="height:18.6pt;width:20.4pt;" filled="f" stroked="f" coordsize="21600,21600">
            <v:path/>
            <v:fill on="f" focussize="0,0"/>
            <v:stroke on="f" joinstyle="miter"/>
            <v:imagedata r:id="rId12" embosscolor="#FFFFFF" o:title=""/>
            <o:lock v:ext="edit" aspectratio="t"/>
            <w10:wrap type="none"/>
            <w10:anchorlock/>
          </v:shape>
        </w:pict>
      </w:r>
      <w:r>
        <w:t>Neutral</w:t>
      </w:r>
    </w:p>
    <w:p>
      <w:pPr>
        <w:numPr>
          <w:ilvl w:val="0"/>
          <w:numId w:val="21"/>
        </w:numPr>
        <w:spacing w:before="0" w:after="0" w:line="240" w:lineRule="auto"/>
      </w:pPr>
      <w:r>
        <w:pict>
          <v:shape id="_x0000_i1086" o:spt="75" type="#_x0000_t75" style="height:18.6pt;width:20.4pt;" filled="f" stroked="f" coordsize="21600,21600">
            <v:path/>
            <v:fill on="f" focussize="0,0"/>
            <v:stroke on="f" joinstyle="miter"/>
            <v:imagedata r:id="rId12" embosscolor="#FFFFFF" o:title=""/>
            <o:lock v:ext="edit" aspectratio="t"/>
            <w10:wrap type="none"/>
            <w10:anchorlock/>
          </v:shape>
        </w:pict>
      </w:r>
      <w:r>
        <w:t>Dissatisfied</w:t>
      </w:r>
    </w:p>
    <w:p>
      <w:pPr>
        <w:numPr>
          <w:ilvl w:val="0"/>
          <w:numId w:val="21"/>
        </w:numPr>
        <w:spacing w:before="0" w:after="0" w:line="240" w:lineRule="auto"/>
      </w:pPr>
      <w:r>
        <w:pict>
          <v:shape id="_x0000_i1087" o:spt="75" type="#_x0000_t75" style="height:18.6pt;width:20.4pt;" filled="f" stroked="f" coordsize="21600,21600">
            <v:path/>
            <v:fill on="f" focussize="0,0"/>
            <v:stroke on="f" joinstyle="miter"/>
            <v:imagedata r:id="rId12" embosscolor="#FFFFFF" o:title=""/>
            <o:lock v:ext="edit" aspectratio="t"/>
            <w10:wrap type="none"/>
            <w10:anchorlock/>
          </v:shape>
        </w:pict>
      </w:r>
      <w:r>
        <w:t>Very Dissatisfied</w:t>
      </w:r>
    </w:p>
    <w:p>
      <w:pPr>
        <w:spacing w:before="0" w:after="0" w:line="240" w:lineRule="auto"/>
        <w:rPr>
          <w:b/>
          <w:bCs/>
        </w:rPr>
      </w:pPr>
      <w:r>
        <w:rPr>
          <w:b/>
          <w:bCs/>
        </w:rPr>
        <w:t>B2. Perception of Improvement</w:t>
      </w:r>
    </w:p>
    <w:p>
      <w:pPr>
        <w:spacing w:before="0" w:after="0" w:line="240" w:lineRule="auto"/>
      </w:pPr>
      <w:r>
        <w:t>Do you believe the merger has improved the welfare benefits provided by the PSSSF?</w:t>
      </w:r>
    </w:p>
    <w:p>
      <w:pPr>
        <w:numPr>
          <w:ilvl w:val="0"/>
          <w:numId w:val="22"/>
        </w:numPr>
        <w:spacing w:before="0" w:after="0" w:line="240" w:lineRule="auto"/>
      </w:pPr>
      <w:r>
        <w:pict>
          <v:shape id="_x0000_i1088" o:spt="75" type="#_x0000_t75" style="height:18.6pt;width:20.4pt;" filled="f" stroked="f" coordsize="21600,21600">
            <v:path/>
            <v:fill on="f" focussize="0,0"/>
            <v:stroke on="f" joinstyle="miter"/>
            <v:imagedata r:id="rId12" embosscolor="#FFFFFF" o:title=""/>
            <o:lock v:ext="edit" aspectratio="t"/>
            <w10:wrap type="none"/>
            <w10:anchorlock/>
          </v:shape>
        </w:pict>
      </w:r>
      <w:r>
        <w:t>Strongly Agree</w:t>
      </w:r>
    </w:p>
    <w:p>
      <w:pPr>
        <w:numPr>
          <w:ilvl w:val="0"/>
          <w:numId w:val="22"/>
        </w:numPr>
        <w:spacing w:before="0" w:after="0" w:line="240" w:lineRule="auto"/>
      </w:pPr>
      <w:r>
        <w:pict>
          <v:shape id="_x0000_i1089" o:spt="75" type="#_x0000_t75" style="height:18.6pt;width:20.4pt;" filled="f" stroked="f" coordsize="21600,21600">
            <v:path/>
            <v:fill on="f" focussize="0,0"/>
            <v:stroke on="f" joinstyle="miter"/>
            <v:imagedata r:id="rId12" embosscolor="#FFFFFF" o:title=""/>
            <o:lock v:ext="edit" aspectratio="t"/>
            <w10:wrap type="none"/>
            <w10:anchorlock/>
          </v:shape>
        </w:pict>
      </w:r>
      <w:r>
        <w:t>Agree</w:t>
      </w:r>
    </w:p>
    <w:p>
      <w:pPr>
        <w:numPr>
          <w:ilvl w:val="0"/>
          <w:numId w:val="22"/>
        </w:numPr>
        <w:spacing w:before="0" w:after="0" w:line="240" w:lineRule="auto"/>
      </w:pPr>
      <w:r>
        <w:pict>
          <v:shape id="_x0000_i1090" o:spt="75" type="#_x0000_t75" style="height:18.6pt;width:20.4pt;" filled="f" stroked="f" coordsize="21600,21600">
            <v:path/>
            <v:fill on="f" focussize="0,0"/>
            <v:stroke on="f" joinstyle="miter"/>
            <v:imagedata r:id="rId12" embosscolor="#FFFFFF" o:title=""/>
            <o:lock v:ext="edit" aspectratio="t"/>
            <w10:wrap type="none"/>
            <w10:anchorlock/>
          </v:shape>
        </w:pict>
      </w:r>
      <w:r>
        <w:t>Neutral</w:t>
      </w:r>
    </w:p>
    <w:p>
      <w:pPr>
        <w:numPr>
          <w:ilvl w:val="0"/>
          <w:numId w:val="22"/>
        </w:numPr>
        <w:spacing w:before="0" w:after="0" w:line="240" w:lineRule="auto"/>
      </w:pPr>
      <w:r>
        <w:pict>
          <v:shape id="_x0000_i1091" o:spt="75" type="#_x0000_t75" style="height:18.6pt;width:20.4pt;" filled="f" stroked="f" coordsize="21600,21600">
            <v:path/>
            <v:fill on="f" focussize="0,0"/>
            <v:stroke on="f" joinstyle="miter"/>
            <v:imagedata r:id="rId12" embosscolor="#FFFFFF" o:title=""/>
            <o:lock v:ext="edit" aspectratio="t"/>
            <w10:wrap type="none"/>
            <w10:anchorlock/>
          </v:shape>
        </w:pict>
      </w:r>
      <w:r>
        <w:t>Disagree</w:t>
      </w:r>
    </w:p>
    <w:p>
      <w:pPr>
        <w:numPr>
          <w:ilvl w:val="0"/>
          <w:numId w:val="22"/>
        </w:numPr>
        <w:spacing w:before="0" w:after="0" w:line="240" w:lineRule="auto"/>
      </w:pPr>
      <w:r>
        <w:pict>
          <v:shape id="_x0000_i1092" o:spt="75" type="#_x0000_t75" style="height:18.6pt;width:20.4pt;" filled="f" stroked="f" coordsize="21600,21600">
            <v:path/>
            <v:fill on="f" focussize="0,0"/>
            <v:stroke on="f" joinstyle="miter"/>
            <v:imagedata r:id="rId12" embosscolor="#FFFFFF" o:title=""/>
            <o:lock v:ext="edit" aspectratio="t"/>
            <w10:wrap type="none"/>
            <w10:anchorlock/>
          </v:shape>
        </w:pict>
      </w:r>
      <w:r>
        <w:t>Strongly Disagree</w:t>
      </w:r>
    </w:p>
    <w:p>
      <w:pPr>
        <w:spacing w:before="0" w:after="0" w:line="240" w:lineRule="auto"/>
        <w:rPr>
          <w:b/>
          <w:bCs/>
        </w:rPr>
      </w:pPr>
      <w:r>
        <w:rPr>
          <w:b/>
          <w:bCs/>
        </w:rPr>
        <w:t>B3. Benefit Types</w:t>
      </w:r>
    </w:p>
    <w:p>
      <w:pPr>
        <w:spacing w:before="0" w:after="0" w:line="240" w:lineRule="auto"/>
      </w:pPr>
      <w:r>
        <w:t>Which welfare benefits do you find most beneficial? (Select all that apply)</w:t>
      </w:r>
    </w:p>
    <w:p>
      <w:pPr>
        <w:numPr>
          <w:ilvl w:val="0"/>
          <w:numId w:val="23"/>
        </w:numPr>
        <w:spacing w:before="0" w:after="0" w:line="240" w:lineRule="auto"/>
      </w:pPr>
      <w:r>
        <w:pict>
          <v:shape id="_x0000_i1093" o:spt="75" type="#_x0000_t75" style="height:18.6pt;width:20.4pt;" filled="f" stroked="f" coordsize="21600,21600">
            <v:path/>
            <v:fill on="f" focussize="0,0"/>
            <v:stroke on="f" joinstyle="miter"/>
            <v:imagedata r:id="rId12" embosscolor="#FFFFFF" o:title=""/>
            <o:lock v:ext="edit" aspectratio="t"/>
            <w10:wrap type="none"/>
            <w10:anchorlock/>
          </v:shape>
        </w:pict>
      </w:r>
      <w:r>
        <w:t>Retirement Benefits</w:t>
      </w:r>
    </w:p>
    <w:p>
      <w:pPr>
        <w:numPr>
          <w:ilvl w:val="0"/>
          <w:numId w:val="23"/>
        </w:numPr>
        <w:spacing w:before="0" w:after="0" w:line="240" w:lineRule="auto"/>
      </w:pPr>
      <w:r>
        <w:pict>
          <v:shape id="_x0000_i1094" o:spt="75" type="#_x0000_t75" style="height:18.6pt;width:20.4pt;" filled="f" stroked="f" coordsize="21600,21600">
            <v:path/>
            <v:fill on="f" focussize="0,0"/>
            <v:stroke on="f" joinstyle="miter"/>
            <v:imagedata r:id="rId12" embosscolor="#FFFFFF" o:title=""/>
            <o:lock v:ext="edit" aspectratio="t"/>
            <w10:wrap type="none"/>
            <w10:anchorlock/>
          </v:shape>
        </w:pict>
      </w:r>
      <w:r>
        <w:t>Disability Benefits</w:t>
      </w:r>
    </w:p>
    <w:p>
      <w:pPr>
        <w:numPr>
          <w:ilvl w:val="0"/>
          <w:numId w:val="23"/>
        </w:numPr>
        <w:spacing w:before="0" w:after="0" w:line="240" w:lineRule="auto"/>
      </w:pPr>
      <w:r>
        <w:pict>
          <v:shape id="_x0000_i1095" o:spt="75" type="#_x0000_t75" style="height:18.6pt;width:20.4pt;" filled="f" stroked="f" coordsize="21600,21600">
            <v:path/>
            <v:fill on="f" focussize="0,0"/>
            <v:stroke on="f" joinstyle="miter"/>
            <v:imagedata r:id="rId12" embosscolor="#FFFFFF" o:title=""/>
            <o:lock v:ext="edit" aspectratio="t"/>
            <w10:wrap type="none"/>
            <w10:anchorlock/>
          </v:shape>
        </w:pict>
      </w:r>
      <w:r>
        <w:t>Health Benefits</w:t>
      </w:r>
    </w:p>
    <w:p>
      <w:pPr>
        <w:numPr>
          <w:ilvl w:val="0"/>
          <w:numId w:val="23"/>
        </w:numPr>
        <w:spacing w:before="0" w:after="0" w:line="240" w:lineRule="auto"/>
      </w:pPr>
      <w:r>
        <w:pict>
          <v:shape id="_x0000_i1096" o:spt="75" type="#_x0000_t75" style="height:18.6pt;width:20.4pt;" filled="f" stroked="f" coordsize="21600,21600">
            <v:path/>
            <v:fill on="f" focussize="0,0"/>
            <v:stroke on="f" joinstyle="miter"/>
            <v:imagedata r:id="rId12" embosscolor="#FFFFFF" o:title=""/>
            <o:lock v:ext="edit" aspectratio="t"/>
            <w10:wrap type="none"/>
            <w10:anchorlock/>
          </v:shape>
        </w:pict>
      </w:r>
      <w:r>
        <w:t>Survivor Benefits</w:t>
      </w:r>
    </w:p>
    <w:p>
      <w:pPr>
        <w:numPr>
          <w:ilvl w:val="0"/>
          <w:numId w:val="23"/>
        </w:numPr>
        <w:spacing w:before="0" w:after="0" w:line="240" w:lineRule="auto"/>
      </w:pPr>
      <w:r>
        <w:pict>
          <v:shape id="_x0000_i1097" o:spt="75" type="#_x0000_t75" style="height:18.6pt;width:20.4pt;" filled="f" stroked="f" coordsize="21600,21600">
            <v:path/>
            <v:fill on="f" focussize="0,0"/>
            <v:stroke on="f" joinstyle="miter"/>
            <v:imagedata r:id="rId12" embosscolor="#FFFFFF" o:title=""/>
            <o:lock v:ext="edit" aspectratio="t"/>
            <w10:wrap type="none"/>
            <w10:anchorlock/>
          </v:shape>
        </w:pict>
      </w:r>
      <w:r>
        <w:t>Other (Please specify): __________</w:t>
      </w:r>
    </w:p>
    <w:p>
      <w:pPr>
        <w:spacing w:before="0" w:after="0" w:line="240" w:lineRule="auto"/>
        <w:rPr>
          <w:b/>
          <w:bCs/>
        </w:rPr>
      </w:pPr>
      <w:r>
        <w:rPr>
          <w:b/>
          <w:bCs/>
        </w:rPr>
        <w:t>B4. Overall Quality of Benefits</w:t>
      </w:r>
    </w:p>
    <w:p>
      <w:pPr>
        <w:spacing w:before="0" w:after="0" w:line="240" w:lineRule="auto"/>
      </w:pPr>
      <w:r>
        <w:t>How would you rate the overall quality of welfare benefits provided by the PSSSF post-merger?</w:t>
      </w:r>
    </w:p>
    <w:p>
      <w:pPr>
        <w:numPr>
          <w:ilvl w:val="0"/>
          <w:numId w:val="24"/>
        </w:numPr>
        <w:spacing w:before="0" w:after="0" w:line="240" w:lineRule="auto"/>
      </w:pPr>
      <w:r>
        <w:pict>
          <v:shape id="_x0000_i1098" o:spt="75" type="#_x0000_t75" style="height:18.6pt;width:20.4pt;" filled="f" stroked="f" coordsize="21600,21600">
            <v:path/>
            <v:fill on="f" focussize="0,0"/>
            <v:stroke on="f" joinstyle="miter"/>
            <v:imagedata r:id="rId12" embosscolor="#FFFFFF" o:title=""/>
            <o:lock v:ext="edit" aspectratio="t"/>
            <w10:wrap type="none"/>
            <w10:anchorlock/>
          </v:shape>
        </w:pict>
      </w:r>
      <w:r>
        <w:t>Excellent</w:t>
      </w:r>
    </w:p>
    <w:p>
      <w:pPr>
        <w:numPr>
          <w:ilvl w:val="0"/>
          <w:numId w:val="24"/>
        </w:numPr>
        <w:spacing w:before="0" w:after="0" w:line="240" w:lineRule="auto"/>
      </w:pPr>
      <w:r>
        <w:pict>
          <v:shape id="_x0000_i1099" o:spt="75" type="#_x0000_t75" style="height:18.6pt;width:20.4pt;" filled="f" stroked="f" coordsize="21600,21600">
            <v:path/>
            <v:fill on="f" focussize="0,0"/>
            <v:stroke on="f" joinstyle="miter"/>
            <v:imagedata r:id="rId12" embosscolor="#FFFFFF" o:title=""/>
            <o:lock v:ext="edit" aspectratio="t"/>
            <w10:wrap type="none"/>
            <w10:anchorlock/>
          </v:shape>
        </w:pict>
      </w:r>
      <w:r>
        <w:t>Good</w:t>
      </w:r>
    </w:p>
    <w:p>
      <w:pPr>
        <w:numPr>
          <w:ilvl w:val="0"/>
          <w:numId w:val="24"/>
        </w:numPr>
        <w:spacing w:before="0" w:after="0" w:line="240" w:lineRule="auto"/>
      </w:pPr>
      <w:r>
        <w:pict>
          <v:shape id="_x0000_i1100" o:spt="75" type="#_x0000_t75" style="height:18.6pt;width:20.4pt;" filled="f" stroked="f" coordsize="21600,21600">
            <v:path/>
            <v:fill on="f" focussize="0,0"/>
            <v:stroke on="f" joinstyle="miter"/>
            <v:imagedata r:id="rId12" embosscolor="#FFFFFF" o:title=""/>
            <o:lock v:ext="edit" aspectratio="t"/>
            <w10:wrap type="none"/>
            <w10:anchorlock/>
          </v:shape>
        </w:pict>
      </w:r>
      <w:r>
        <w:t>Average</w:t>
      </w:r>
    </w:p>
    <w:p>
      <w:pPr>
        <w:numPr>
          <w:ilvl w:val="0"/>
          <w:numId w:val="24"/>
        </w:numPr>
        <w:spacing w:before="0" w:after="0" w:line="240" w:lineRule="auto"/>
      </w:pPr>
      <w:r>
        <w:pict>
          <v:shape id="_x0000_i1101" o:spt="75" type="#_x0000_t75" style="height:18.6pt;width:20.4pt;" filled="f" stroked="f" coordsize="21600,21600">
            <v:path/>
            <v:fill on="f" focussize="0,0"/>
            <v:stroke on="f" joinstyle="miter"/>
            <v:imagedata r:id="rId12" embosscolor="#FFFFFF" o:title=""/>
            <o:lock v:ext="edit" aspectratio="t"/>
            <w10:wrap type="none"/>
            <w10:anchorlock/>
          </v:shape>
        </w:pict>
      </w:r>
      <w:r>
        <w:t>Poor</w:t>
      </w:r>
    </w:p>
    <w:p>
      <w:pPr>
        <w:numPr>
          <w:ilvl w:val="0"/>
          <w:numId w:val="24"/>
        </w:numPr>
        <w:spacing w:before="0" w:after="0" w:line="240" w:lineRule="auto"/>
      </w:pPr>
      <w:r>
        <w:pict>
          <v:shape id="_x0000_i1102" o:spt="75" type="#_x0000_t75" style="height:18.6pt;width:20.4pt;" filled="f" stroked="f" coordsize="21600,21600">
            <v:path/>
            <v:fill on="f" focussize="0,0"/>
            <v:stroke on="f" joinstyle="miter"/>
            <v:imagedata r:id="rId12" embosscolor="#FFFFFF" o:title=""/>
            <o:lock v:ext="edit" aspectratio="t"/>
            <w10:wrap type="none"/>
            <w10:anchorlock/>
          </v:shape>
        </w:pict>
      </w:r>
      <w:r>
        <w:t>Very Poor</w:t>
      </w:r>
    </w:p>
    <w:p>
      <w:pPr>
        <w:spacing w:before="0" w:after="0" w:line="240" w:lineRule="auto"/>
        <w:rPr>
          <w:b/>
          <w:bCs/>
        </w:rPr>
      </w:pPr>
      <w:r>
        <w:rPr>
          <w:b/>
          <w:bCs/>
        </w:rPr>
        <w:t>B5. Knowledge of Changes in Benefits</w:t>
      </w:r>
    </w:p>
    <w:p>
      <w:pPr>
        <w:spacing w:before="0" w:after="0" w:line="240" w:lineRule="auto"/>
      </w:pPr>
      <w:r>
        <w:t>Since the merger and acquisition, have the welfare benefits you receive from PSSSF changed in any way?</w:t>
      </w:r>
    </w:p>
    <w:p>
      <w:pPr>
        <w:numPr>
          <w:ilvl w:val="0"/>
          <w:numId w:val="25"/>
        </w:numPr>
        <w:spacing w:before="0" w:after="0" w:line="240" w:lineRule="auto"/>
      </w:pPr>
      <w:r>
        <w:pict>
          <v:shape id="_x0000_i1103" o:spt="75" type="#_x0000_t75" style="height:18.6pt;width:20.4pt;" filled="f" stroked="f" coordsize="21600,21600">
            <v:path/>
            <v:fill on="f" focussize="0,0"/>
            <v:stroke on="f" joinstyle="miter"/>
            <v:imagedata r:id="rId12" embosscolor="#FFFFFF" o:title=""/>
            <o:lock v:ext="edit" aspectratio="t"/>
            <w10:wrap type="none"/>
            <w10:anchorlock/>
          </v:shape>
        </w:pict>
      </w:r>
      <w:r>
        <w:t>Yes</w:t>
      </w:r>
    </w:p>
    <w:p>
      <w:pPr>
        <w:numPr>
          <w:ilvl w:val="0"/>
          <w:numId w:val="25"/>
        </w:numPr>
        <w:spacing w:before="0" w:after="0" w:line="240" w:lineRule="auto"/>
      </w:pPr>
      <w:r>
        <w:pict>
          <v:shape id="_x0000_i1104" o:spt="75" type="#_x0000_t75" style="height:18.6pt;width:20.4pt;" filled="f" stroked="f" coordsize="21600,21600">
            <v:path/>
            <v:fill on="f" focussize="0,0"/>
            <v:stroke on="f" joinstyle="miter"/>
            <v:imagedata r:id="rId12" embosscolor="#FFFFFF" o:title=""/>
            <o:lock v:ext="edit" aspectratio="t"/>
            <w10:wrap type="none"/>
            <w10:anchorlock/>
          </v:shape>
        </w:pict>
      </w:r>
      <w:r>
        <w:t>No</w:t>
      </w:r>
      <w:r>
        <w:br w:type="textWrapping"/>
      </w:r>
      <w:r>
        <w:t>If yes, please describe how the benefits have changed:</w:t>
      </w:r>
    </w:p>
    <w:p>
      <w:pPr>
        <w:numPr>
          <w:ilvl w:val="0"/>
          <w:numId w:val="25"/>
        </w:numPr>
        <w:spacing w:before="0" w:after="0" w:line="240" w:lineRule="auto"/>
      </w:pPr>
      <w:r>
        <w:pict>
          <v:shape id="_x0000_i1105" o:spt="75" type="#_x0000_t75" style="height:18.6pt;width:20.4pt;" filled="f" stroked="f" coordsize="21600,21600">
            <v:path/>
            <v:fill on="f" focussize="0,0"/>
            <v:stroke on="f" joinstyle="miter"/>
            <v:imagedata r:id="rId12" embosscolor="#FFFFFF" o:title=""/>
            <o:lock v:ext="edit" aspectratio="t"/>
            <w10:wrap type="none"/>
            <w10:anchorlock/>
          </v:shape>
        </w:pict>
      </w:r>
      <w:r>
        <w:t>_____________________________</w:t>
      </w:r>
    </w:p>
    <w:p>
      <w:pPr>
        <w:spacing w:before="0" w:after="0" w:line="240" w:lineRule="auto"/>
      </w:pPr>
      <w:r>
        <w:pict>
          <v:rect id="_x0000_i1106" o:spt="1" style="height:1.5pt;width:0pt;" fillcolor="#A0A0A0" filled="t" stroked="f" coordsize="21600,21600" o:hr="t" o:hrstd="t" o:hralign="center">
            <v:path/>
            <v:fill on="t" focussize="0,0"/>
            <v:stroke on="f"/>
            <v:imagedata o:title=""/>
            <o:lock v:ext="edit"/>
            <w10:wrap type="none"/>
            <w10:anchorlock/>
          </v:rect>
        </w:pict>
      </w:r>
    </w:p>
    <w:p>
      <w:pPr>
        <w:spacing w:before="0" w:after="0" w:line="240" w:lineRule="auto"/>
        <w:rPr>
          <w:b/>
          <w:bCs/>
        </w:rPr>
      </w:pPr>
      <w:r>
        <w:rPr>
          <w:b/>
          <w:bCs/>
        </w:rPr>
        <w:t>SECTION C: SERVICE DELIVERY AND ADMINISTRATIVE EFFICIENCY (Objective 2)</w:t>
      </w:r>
    </w:p>
    <w:p>
      <w:pPr>
        <w:spacing w:before="0" w:after="0" w:line="240" w:lineRule="auto"/>
        <w:rPr>
          <w:b/>
          <w:bCs/>
        </w:rPr>
      </w:pPr>
      <w:r>
        <w:rPr>
          <w:b/>
          <w:bCs/>
        </w:rPr>
        <w:t>C1. Service Delivery Rating</w:t>
      </w:r>
    </w:p>
    <w:p>
      <w:pPr>
        <w:spacing w:before="0" w:after="0" w:line="240" w:lineRule="auto"/>
      </w:pPr>
      <w:r>
        <w:t>How would you rate the service delivery of the PSSSF following the mergers and acquisitions?</w:t>
      </w:r>
    </w:p>
    <w:p>
      <w:pPr>
        <w:numPr>
          <w:ilvl w:val="0"/>
          <w:numId w:val="26"/>
        </w:numPr>
        <w:spacing w:before="0" w:after="0" w:line="240" w:lineRule="auto"/>
      </w:pPr>
      <w:r>
        <w:pict>
          <v:shape id="_x0000_i1107" o:spt="75" type="#_x0000_t75" style="height:18.6pt;width:20.4pt;" filled="f" stroked="f" coordsize="21600,21600">
            <v:path/>
            <v:fill on="f" focussize="0,0"/>
            <v:stroke on="f" joinstyle="miter"/>
            <v:imagedata r:id="rId12" embosscolor="#FFFFFF" o:title=""/>
            <o:lock v:ext="edit" aspectratio="t"/>
            <w10:wrap type="none"/>
            <w10:anchorlock/>
          </v:shape>
        </w:pict>
      </w:r>
      <w:r>
        <w:t>Excellent</w:t>
      </w:r>
    </w:p>
    <w:p>
      <w:pPr>
        <w:numPr>
          <w:ilvl w:val="0"/>
          <w:numId w:val="26"/>
        </w:numPr>
        <w:spacing w:before="0" w:after="0" w:line="240" w:lineRule="auto"/>
      </w:pPr>
      <w:r>
        <w:pict>
          <v:shape id="_x0000_i1108" o:spt="75" type="#_x0000_t75" style="height:18.6pt;width:20.4pt;" filled="f" stroked="f" coordsize="21600,21600">
            <v:path/>
            <v:fill on="f" focussize="0,0"/>
            <v:stroke on="f" joinstyle="miter"/>
            <v:imagedata r:id="rId12" embosscolor="#FFFFFF" o:title=""/>
            <o:lock v:ext="edit" aspectratio="t"/>
            <w10:wrap type="none"/>
            <w10:anchorlock/>
          </v:shape>
        </w:pict>
      </w:r>
      <w:r>
        <w:t>Good</w:t>
      </w:r>
    </w:p>
    <w:p>
      <w:pPr>
        <w:numPr>
          <w:ilvl w:val="0"/>
          <w:numId w:val="26"/>
        </w:numPr>
        <w:spacing w:before="0" w:after="0" w:line="240" w:lineRule="auto"/>
      </w:pPr>
      <w:r>
        <w:pict>
          <v:shape id="_x0000_i1109" o:spt="75" type="#_x0000_t75" style="height:18.6pt;width:20.4pt;" filled="f" stroked="f" coordsize="21600,21600">
            <v:path/>
            <v:fill on="f" focussize="0,0"/>
            <v:stroke on="f" joinstyle="miter"/>
            <v:imagedata r:id="rId12" embosscolor="#FFFFFF" o:title=""/>
            <o:lock v:ext="edit" aspectratio="t"/>
            <w10:wrap type="none"/>
            <w10:anchorlock/>
          </v:shape>
        </w:pict>
      </w:r>
      <w:r>
        <w:t>Average</w:t>
      </w:r>
    </w:p>
    <w:p>
      <w:pPr>
        <w:numPr>
          <w:ilvl w:val="0"/>
          <w:numId w:val="26"/>
        </w:numPr>
        <w:spacing w:before="0" w:after="0" w:line="240" w:lineRule="auto"/>
      </w:pPr>
      <w:r>
        <w:pict>
          <v:shape id="_x0000_i1110" o:spt="75" type="#_x0000_t75" style="height:18.6pt;width:20.4pt;" filled="f" stroked="f" coordsize="21600,21600">
            <v:path/>
            <v:fill on="f" focussize="0,0"/>
            <v:stroke on="f" joinstyle="miter"/>
            <v:imagedata r:id="rId12" embosscolor="#FFFFFF" o:title=""/>
            <o:lock v:ext="edit" aspectratio="t"/>
            <w10:wrap type="none"/>
            <w10:anchorlock/>
          </v:shape>
        </w:pict>
      </w:r>
      <w:r>
        <w:t>Poor</w:t>
      </w:r>
    </w:p>
    <w:p>
      <w:pPr>
        <w:numPr>
          <w:ilvl w:val="0"/>
          <w:numId w:val="26"/>
        </w:numPr>
        <w:spacing w:before="0" w:after="0" w:line="240" w:lineRule="auto"/>
      </w:pPr>
      <w:r>
        <w:pict>
          <v:shape id="_x0000_i1111" o:spt="75" type="#_x0000_t75" style="height:18.6pt;width:20.4pt;" filled="f" stroked="f" coordsize="21600,21600">
            <v:path/>
            <v:fill on="f" focussize="0,0"/>
            <v:stroke on="f" joinstyle="miter"/>
            <v:imagedata r:id="rId12" embosscolor="#FFFFFF" o:title=""/>
            <o:lock v:ext="edit" aspectratio="t"/>
            <w10:wrap type="none"/>
            <w10:anchorlock/>
          </v:shape>
        </w:pict>
      </w:r>
      <w:r>
        <w:t>Very Poor</w:t>
      </w:r>
    </w:p>
    <w:p>
      <w:pPr>
        <w:spacing w:before="0" w:after="0" w:line="240" w:lineRule="auto"/>
        <w:rPr>
          <w:b/>
          <w:bCs/>
        </w:rPr>
      </w:pPr>
      <w:r>
        <w:rPr>
          <w:b/>
          <w:bCs/>
        </w:rPr>
        <w:t>C2. Administrative Efficiency Changes</w:t>
      </w:r>
    </w:p>
    <w:p>
      <w:pPr>
        <w:spacing w:before="0" w:after="0" w:line="240" w:lineRule="auto"/>
      </w:pPr>
      <w:r>
        <w:t>Have you noticed any changes in the administrative efficiency of the PSSSF after the merger?</w:t>
      </w:r>
    </w:p>
    <w:p>
      <w:pPr>
        <w:numPr>
          <w:ilvl w:val="0"/>
          <w:numId w:val="27"/>
        </w:numPr>
        <w:spacing w:before="0" w:after="0" w:line="240" w:lineRule="auto"/>
      </w:pPr>
      <w:r>
        <w:pict>
          <v:shape id="_x0000_i1112" o:spt="75" type="#_x0000_t75" style="height:18.6pt;width:20.4pt;" filled="f" stroked="f" coordsize="21600,21600">
            <v:path/>
            <v:fill on="f" focussize="0,0"/>
            <v:stroke on="f" joinstyle="miter"/>
            <v:imagedata r:id="rId12" embosscolor="#FFFFFF" o:title=""/>
            <o:lock v:ext="edit" aspectratio="t"/>
            <w10:wrap type="none"/>
            <w10:anchorlock/>
          </v:shape>
        </w:pict>
      </w:r>
      <w:r>
        <w:t>Significant Improvement</w:t>
      </w:r>
    </w:p>
    <w:p>
      <w:pPr>
        <w:numPr>
          <w:ilvl w:val="0"/>
          <w:numId w:val="27"/>
        </w:numPr>
        <w:spacing w:before="0" w:after="0" w:line="240" w:lineRule="auto"/>
      </w:pPr>
      <w:r>
        <w:pict>
          <v:shape id="_x0000_i1113" o:spt="75" type="#_x0000_t75" style="height:18.6pt;width:20.4pt;" filled="f" stroked="f" coordsize="21600,21600">
            <v:path/>
            <v:fill on="f" focussize="0,0"/>
            <v:stroke on="f" joinstyle="miter"/>
            <v:imagedata r:id="rId12" embosscolor="#FFFFFF" o:title=""/>
            <o:lock v:ext="edit" aspectratio="t"/>
            <w10:wrap type="none"/>
            <w10:anchorlock/>
          </v:shape>
        </w:pict>
      </w:r>
      <w:r>
        <w:t>Some Improvement</w:t>
      </w:r>
    </w:p>
    <w:p>
      <w:pPr>
        <w:numPr>
          <w:ilvl w:val="0"/>
          <w:numId w:val="27"/>
        </w:numPr>
        <w:spacing w:before="0" w:after="0" w:line="240" w:lineRule="auto"/>
      </w:pPr>
      <w:r>
        <w:pict>
          <v:shape id="_x0000_i1114" o:spt="75" type="#_x0000_t75" style="height:18.6pt;width:20.4pt;" filled="f" stroked="f" coordsize="21600,21600">
            <v:path/>
            <v:fill on="f" focussize="0,0"/>
            <v:stroke on="f" joinstyle="miter"/>
            <v:imagedata r:id="rId12" embosscolor="#FFFFFF" o:title=""/>
            <o:lock v:ext="edit" aspectratio="t"/>
            <w10:wrap type="none"/>
            <w10:anchorlock/>
          </v:shape>
        </w:pict>
      </w:r>
      <w:r>
        <w:t>No Change</w:t>
      </w:r>
    </w:p>
    <w:p>
      <w:pPr>
        <w:numPr>
          <w:ilvl w:val="0"/>
          <w:numId w:val="27"/>
        </w:numPr>
        <w:spacing w:before="0" w:after="0" w:line="240" w:lineRule="auto"/>
      </w:pPr>
      <w:r>
        <w:pict>
          <v:shape id="_x0000_i1115" o:spt="75" type="#_x0000_t75" style="height:18.6pt;width:20.4pt;" filled="f" stroked="f" coordsize="21600,21600">
            <v:path/>
            <v:fill on="f" focussize="0,0"/>
            <v:stroke on="f" joinstyle="miter"/>
            <v:imagedata r:id="rId12" embosscolor="#FFFFFF" o:title=""/>
            <o:lock v:ext="edit" aspectratio="t"/>
            <w10:wrap type="none"/>
            <w10:anchorlock/>
          </v:shape>
        </w:pict>
      </w:r>
      <w:r>
        <w:t>Some Decline</w:t>
      </w:r>
    </w:p>
    <w:p>
      <w:pPr>
        <w:numPr>
          <w:ilvl w:val="0"/>
          <w:numId w:val="27"/>
        </w:numPr>
        <w:spacing w:before="0" w:after="0" w:line="240" w:lineRule="auto"/>
      </w:pPr>
      <w:r>
        <w:pict>
          <v:shape id="_x0000_i1116" o:spt="75" type="#_x0000_t75" style="height:18.6pt;width:20.4pt;" filled="f" stroked="f" coordsize="21600,21600">
            <v:path/>
            <v:fill on="f" focussize="0,0"/>
            <v:stroke on="f" joinstyle="miter"/>
            <v:imagedata r:id="rId12" embosscolor="#FFFFFF" o:title=""/>
            <o:lock v:ext="edit" aspectratio="t"/>
            <w10:wrap type="none"/>
            <w10:anchorlock/>
          </v:shape>
        </w:pict>
      </w:r>
      <w:r>
        <w:t>Significant Decline</w:t>
      </w:r>
    </w:p>
    <w:p>
      <w:pPr>
        <w:spacing w:before="0" w:after="0" w:line="240" w:lineRule="auto"/>
        <w:rPr>
          <w:b/>
          <w:bCs/>
        </w:rPr>
      </w:pPr>
      <w:r>
        <w:rPr>
          <w:b/>
          <w:bCs/>
        </w:rPr>
        <w:t>C3. Improvements in Service Delivery</w:t>
      </w:r>
    </w:p>
    <w:p>
      <w:pPr>
        <w:spacing w:before="0" w:after="0" w:line="240" w:lineRule="auto"/>
      </w:pPr>
      <w:r>
        <w:t>What aspects of service delivery have improved the most? (Select all that apply)</w:t>
      </w:r>
    </w:p>
    <w:p>
      <w:pPr>
        <w:numPr>
          <w:ilvl w:val="0"/>
          <w:numId w:val="28"/>
        </w:numPr>
        <w:spacing w:before="0" w:after="0" w:line="240" w:lineRule="auto"/>
      </w:pPr>
      <w:r>
        <w:pict>
          <v:shape id="_x0000_i1117" o:spt="75" type="#_x0000_t75" style="height:18.6pt;width:20.4pt;" filled="f" stroked="f" coordsize="21600,21600">
            <v:path/>
            <v:fill on="f" focussize="0,0"/>
            <v:stroke on="f" joinstyle="miter"/>
            <v:imagedata r:id="rId12" embosscolor="#FFFFFF" o:title=""/>
            <o:lock v:ext="edit" aspectratio="t"/>
            <w10:wrap type="none"/>
            <w10:anchorlock/>
          </v:shape>
        </w:pict>
      </w:r>
      <w:r>
        <w:t>Speed of Service</w:t>
      </w:r>
    </w:p>
    <w:p>
      <w:pPr>
        <w:numPr>
          <w:ilvl w:val="0"/>
          <w:numId w:val="28"/>
        </w:numPr>
        <w:spacing w:before="0" w:after="0" w:line="240" w:lineRule="auto"/>
      </w:pPr>
      <w:r>
        <w:pict>
          <v:shape id="_x0000_i1118" o:spt="75" type="#_x0000_t75" style="height:18.6pt;width:20.4pt;" filled="f" stroked="f" coordsize="21600,21600">
            <v:path/>
            <v:fill on="f" focussize="0,0"/>
            <v:stroke on="f" joinstyle="miter"/>
            <v:imagedata r:id="rId12" embosscolor="#FFFFFF" o:title=""/>
            <o:lock v:ext="edit" aspectratio="t"/>
            <w10:wrap type="none"/>
            <w10:anchorlock/>
          </v:shape>
        </w:pict>
      </w:r>
      <w:r>
        <w:t>Quality of Service</w:t>
      </w:r>
    </w:p>
    <w:p>
      <w:pPr>
        <w:numPr>
          <w:ilvl w:val="0"/>
          <w:numId w:val="28"/>
        </w:numPr>
        <w:spacing w:before="0" w:after="0" w:line="240" w:lineRule="auto"/>
      </w:pPr>
      <w:r>
        <w:pict>
          <v:shape id="_x0000_i1119" o:spt="75" type="#_x0000_t75" style="height:18.6pt;width:20.4pt;" filled="f" stroked="f" coordsize="21600,21600">
            <v:path/>
            <v:fill on="f" focussize="0,0"/>
            <v:stroke on="f" joinstyle="miter"/>
            <v:imagedata r:id="rId12" embosscolor="#FFFFFF" o:title=""/>
            <o:lock v:ext="edit" aspectratio="t"/>
            <w10:wrap type="none"/>
            <w10:anchorlock/>
          </v:shape>
        </w:pict>
      </w:r>
      <w:r>
        <w:t>Accessibility of Services</w:t>
      </w:r>
    </w:p>
    <w:p>
      <w:pPr>
        <w:numPr>
          <w:ilvl w:val="0"/>
          <w:numId w:val="28"/>
        </w:numPr>
        <w:spacing w:before="0" w:after="0" w:line="240" w:lineRule="auto"/>
      </w:pPr>
      <w:r>
        <w:pict>
          <v:shape id="_x0000_i1120" o:spt="75" type="#_x0000_t75" style="height:18.6pt;width:20.4pt;" filled="f" stroked="f" coordsize="21600,21600">
            <v:path/>
            <v:fill on="f" focussize="0,0"/>
            <v:stroke on="f" joinstyle="miter"/>
            <v:imagedata r:id="rId12" embosscolor="#FFFFFF" o:title=""/>
            <o:lock v:ext="edit" aspectratio="t"/>
            <w10:wrap type="none"/>
            <w10:anchorlock/>
          </v:shape>
        </w:pict>
      </w:r>
      <w:r>
        <w:t>Customer Support</w:t>
      </w:r>
    </w:p>
    <w:p>
      <w:pPr>
        <w:numPr>
          <w:ilvl w:val="0"/>
          <w:numId w:val="28"/>
        </w:numPr>
        <w:spacing w:before="0" w:after="0" w:line="240" w:lineRule="auto"/>
      </w:pPr>
      <w:r>
        <w:pict>
          <v:shape id="_x0000_i1121" o:spt="75" type="#_x0000_t75" style="height:18.6pt;width:20.4pt;" filled="f" stroked="f" coordsize="21600,21600">
            <v:path/>
            <v:fill on="f" focussize="0,0"/>
            <v:stroke on="f" joinstyle="miter"/>
            <v:imagedata r:id="rId12" embosscolor="#FFFFFF" o:title=""/>
            <o:lock v:ext="edit" aspectratio="t"/>
            <w10:wrap type="none"/>
            <w10:anchorlock/>
          </v:shape>
        </w:pict>
      </w:r>
      <w:r>
        <w:t>Other (Please specify): __________</w:t>
      </w:r>
    </w:p>
    <w:p>
      <w:pPr>
        <w:spacing w:before="0" w:after="0" w:line="240" w:lineRule="auto"/>
        <w:rPr>
          <w:b/>
          <w:bCs/>
        </w:rPr>
      </w:pPr>
      <w:r>
        <w:rPr>
          <w:b/>
          <w:bCs/>
        </w:rPr>
        <w:t>C4. Administrative Process Satisfaction</w:t>
      </w:r>
    </w:p>
    <w:p>
      <w:pPr>
        <w:spacing w:before="0" w:after="0" w:line="240" w:lineRule="auto"/>
      </w:pPr>
      <w:r>
        <w:t>How satisfied are you with the administrative processes of the PSSSF post-merger?</w:t>
      </w:r>
    </w:p>
    <w:p>
      <w:pPr>
        <w:numPr>
          <w:ilvl w:val="0"/>
          <w:numId w:val="29"/>
        </w:numPr>
        <w:spacing w:before="0" w:after="0" w:line="240" w:lineRule="auto"/>
      </w:pPr>
      <w:r>
        <w:pict>
          <v:shape id="_x0000_i1122" o:spt="75" type="#_x0000_t75" style="height:18.6pt;width:20.4pt;" filled="f" stroked="f" coordsize="21600,21600">
            <v:path/>
            <v:fill on="f" focussize="0,0"/>
            <v:stroke on="f" joinstyle="miter"/>
            <v:imagedata r:id="rId12" embosscolor="#FFFFFF" o:title=""/>
            <o:lock v:ext="edit" aspectratio="t"/>
            <w10:wrap type="none"/>
            <w10:anchorlock/>
          </v:shape>
        </w:pict>
      </w:r>
      <w:r>
        <w:t>Very Satisfied</w:t>
      </w:r>
    </w:p>
    <w:p>
      <w:pPr>
        <w:numPr>
          <w:ilvl w:val="0"/>
          <w:numId w:val="29"/>
        </w:numPr>
        <w:spacing w:before="0" w:after="0" w:line="240" w:lineRule="auto"/>
      </w:pPr>
      <w:r>
        <w:pict>
          <v:shape id="_x0000_i1123" o:spt="75" type="#_x0000_t75" style="height:18.6pt;width:20.4pt;" filled="f" stroked="f" coordsize="21600,21600">
            <v:path/>
            <v:fill on="f" focussize="0,0"/>
            <v:stroke on="f" joinstyle="miter"/>
            <v:imagedata r:id="rId12" embosscolor="#FFFFFF" o:title=""/>
            <o:lock v:ext="edit" aspectratio="t"/>
            <w10:wrap type="none"/>
            <w10:anchorlock/>
          </v:shape>
        </w:pict>
      </w:r>
      <w:r>
        <w:t>Satisfied</w:t>
      </w:r>
    </w:p>
    <w:p>
      <w:pPr>
        <w:numPr>
          <w:ilvl w:val="0"/>
          <w:numId w:val="29"/>
        </w:numPr>
        <w:spacing w:before="0" w:after="0" w:line="240" w:lineRule="auto"/>
      </w:pPr>
      <w:r>
        <w:pict>
          <v:shape id="_x0000_i1124" o:spt="75" type="#_x0000_t75" style="height:18.6pt;width:20.4pt;" filled="f" stroked="f" coordsize="21600,21600">
            <v:path/>
            <v:fill on="f" focussize="0,0"/>
            <v:stroke on="f" joinstyle="miter"/>
            <v:imagedata r:id="rId12" embosscolor="#FFFFFF" o:title=""/>
            <o:lock v:ext="edit" aspectratio="t"/>
            <w10:wrap type="none"/>
            <w10:anchorlock/>
          </v:shape>
        </w:pict>
      </w:r>
      <w:r>
        <w:t>Neutral</w:t>
      </w:r>
    </w:p>
    <w:p>
      <w:pPr>
        <w:numPr>
          <w:ilvl w:val="0"/>
          <w:numId w:val="29"/>
        </w:numPr>
        <w:spacing w:before="0" w:after="0" w:line="240" w:lineRule="auto"/>
      </w:pPr>
      <w:r>
        <w:pict>
          <v:shape id="_x0000_i1125" o:spt="75" type="#_x0000_t75" style="height:18.6pt;width:20.4pt;" filled="f" stroked="f" coordsize="21600,21600">
            <v:path/>
            <v:fill on="f" focussize="0,0"/>
            <v:stroke on="f" joinstyle="miter"/>
            <v:imagedata r:id="rId12" embosscolor="#FFFFFF" o:title=""/>
            <o:lock v:ext="edit" aspectratio="t"/>
            <w10:wrap type="none"/>
            <w10:anchorlock/>
          </v:shape>
        </w:pict>
      </w:r>
      <w:r>
        <w:t>Dissatisfied</w:t>
      </w:r>
    </w:p>
    <w:p>
      <w:pPr>
        <w:numPr>
          <w:ilvl w:val="0"/>
          <w:numId w:val="29"/>
        </w:numPr>
        <w:spacing w:before="0" w:after="0" w:line="240" w:lineRule="auto"/>
      </w:pPr>
      <w:r>
        <w:pict>
          <v:shape id="_x0000_i1126" o:spt="75" type="#_x0000_t75" style="height:18.6pt;width:20.4pt;" filled="f" stroked="f" coordsize="21600,21600">
            <v:path/>
            <v:fill on="f" focussize="0,0"/>
            <v:stroke on="f" joinstyle="miter"/>
            <v:imagedata r:id="rId12" embosscolor="#FFFFFF" o:title=""/>
            <o:lock v:ext="edit" aspectratio="t"/>
            <w10:wrap type="none"/>
            <w10:anchorlock/>
          </v:shape>
        </w:pict>
      </w:r>
      <w:r>
        <w:t>Very Dissatisfied</w:t>
      </w:r>
    </w:p>
    <w:p>
      <w:pPr>
        <w:spacing w:before="0" w:after="0" w:line="240" w:lineRule="auto"/>
        <w:rPr>
          <w:b/>
          <w:bCs/>
        </w:rPr>
      </w:pPr>
      <w:r>
        <w:rPr>
          <w:b/>
          <w:bCs/>
        </w:rPr>
        <w:t>C5. Digital Service Improvements</w:t>
      </w:r>
    </w:p>
    <w:p>
      <w:pPr>
        <w:spacing w:before="0" w:after="0" w:line="240" w:lineRule="auto"/>
      </w:pPr>
      <w:r>
        <w:t>Has there been an improvement in the use of digital platforms (e.g., online portals, mobile apps) for accessing PSSSF services post-merger?</w:t>
      </w:r>
    </w:p>
    <w:p>
      <w:pPr>
        <w:numPr>
          <w:ilvl w:val="0"/>
          <w:numId w:val="30"/>
        </w:numPr>
        <w:spacing w:before="0" w:after="0" w:line="240" w:lineRule="auto"/>
      </w:pPr>
      <w:r>
        <w:pict>
          <v:shape id="_x0000_i1127" o:spt="75" type="#_x0000_t75" style="height:18.6pt;width:20.4pt;" filled="f" stroked="f" coordsize="21600,21600">
            <v:path/>
            <v:fill on="f" focussize="0,0"/>
            <v:stroke on="f" joinstyle="miter"/>
            <v:imagedata r:id="rId12" embosscolor="#FFFFFF" o:title=""/>
            <o:lock v:ext="edit" aspectratio="t"/>
            <w10:wrap type="none"/>
            <w10:anchorlock/>
          </v:shape>
        </w:pict>
      </w:r>
      <w:r>
        <w:t>Yes, there has been a significant improvement</w:t>
      </w:r>
    </w:p>
    <w:p>
      <w:pPr>
        <w:numPr>
          <w:ilvl w:val="0"/>
          <w:numId w:val="30"/>
        </w:numPr>
        <w:spacing w:before="0" w:after="0" w:line="240" w:lineRule="auto"/>
      </w:pPr>
      <w:r>
        <w:pict>
          <v:shape id="_x0000_i1128" o:spt="75" type="#_x0000_t75" style="height:18.6pt;width:20.4pt;" filled="f" stroked="f" coordsize="21600,21600">
            <v:path/>
            <v:fill on="f" focussize="0,0"/>
            <v:stroke on="f" joinstyle="miter"/>
            <v:imagedata r:id="rId12" embosscolor="#FFFFFF" o:title=""/>
            <o:lock v:ext="edit" aspectratio="t"/>
            <w10:wrap type="none"/>
            <w10:anchorlock/>
          </v:shape>
        </w:pict>
      </w:r>
      <w:r>
        <w:t>Yes, there has been a slight improvement</w:t>
      </w:r>
    </w:p>
    <w:p>
      <w:pPr>
        <w:numPr>
          <w:ilvl w:val="0"/>
          <w:numId w:val="30"/>
        </w:numPr>
        <w:spacing w:before="0" w:after="0" w:line="240" w:lineRule="auto"/>
      </w:pPr>
      <w:r>
        <w:pict>
          <v:shape id="_x0000_i1129" o:spt="75" type="#_x0000_t75" style="height:18.6pt;width:20.4pt;" filled="f" stroked="f" coordsize="21600,21600">
            <v:path/>
            <v:fill on="f" focussize="0,0"/>
            <v:stroke on="f" joinstyle="miter"/>
            <v:imagedata r:id="rId12" embosscolor="#FFFFFF" o:title=""/>
            <o:lock v:ext="edit" aspectratio="t"/>
            <w10:wrap type="none"/>
            <w10:anchorlock/>
          </v:shape>
        </w:pict>
      </w:r>
      <w:r>
        <w:t>No, it has stayed the same</w:t>
      </w:r>
    </w:p>
    <w:p>
      <w:pPr>
        <w:numPr>
          <w:ilvl w:val="0"/>
          <w:numId w:val="30"/>
        </w:numPr>
        <w:spacing w:before="0" w:after="0" w:line="240" w:lineRule="auto"/>
      </w:pPr>
      <w:r>
        <w:pict>
          <v:shape id="_x0000_i1130" o:spt="75" type="#_x0000_t75" style="height:18.6pt;width:20.4pt;" filled="f" stroked="f" coordsize="21600,21600">
            <v:path/>
            <v:fill on="f" focussize="0,0"/>
            <v:stroke on="f" joinstyle="miter"/>
            <v:imagedata r:id="rId12" embosscolor="#FFFFFF" o:title=""/>
            <o:lock v:ext="edit" aspectratio="t"/>
            <w10:wrap type="none"/>
            <w10:anchorlock/>
          </v:shape>
        </w:pict>
      </w:r>
      <w:r>
        <w:t>No, it has worsened</w:t>
      </w:r>
    </w:p>
    <w:p>
      <w:pPr>
        <w:spacing w:before="0" w:after="0" w:line="240" w:lineRule="auto"/>
        <w:rPr>
          <w:b/>
          <w:bCs/>
        </w:rPr>
      </w:pPr>
      <w:r>
        <w:rPr>
          <w:b/>
          <w:bCs/>
        </w:rPr>
        <w:t>C6. Customer Support</w:t>
      </w:r>
    </w:p>
    <w:p>
      <w:pPr>
        <w:spacing w:before="0" w:after="0" w:line="240" w:lineRule="auto"/>
      </w:pPr>
      <w:r>
        <w:t>How satisfied are you with the customer support provided by PSSSF after the merger (e.g., response time, helpfulness)?</w:t>
      </w:r>
    </w:p>
    <w:p>
      <w:pPr>
        <w:numPr>
          <w:ilvl w:val="0"/>
          <w:numId w:val="31"/>
        </w:numPr>
        <w:spacing w:before="0" w:after="0" w:line="240" w:lineRule="auto"/>
      </w:pPr>
      <w:r>
        <w:pict>
          <v:shape id="_x0000_i1131" o:spt="75" type="#_x0000_t75" style="height:18.6pt;width:20.4pt;" filled="f" stroked="f" coordsize="21600,21600">
            <v:path/>
            <v:fill on="f" focussize="0,0"/>
            <v:stroke on="f" joinstyle="miter"/>
            <v:imagedata r:id="rId12" embosscolor="#FFFFFF" o:title=""/>
            <o:lock v:ext="edit" aspectratio="t"/>
            <w10:wrap type="none"/>
            <w10:anchorlock/>
          </v:shape>
        </w:pict>
      </w:r>
      <w:r>
        <w:t>Very Satisfied</w:t>
      </w:r>
    </w:p>
    <w:p>
      <w:pPr>
        <w:numPr>
          <w:ilvl w:val="0"/>
          <w:numId w:val="31"/>
        </w:numPr>
        <w:spacing w:before="0" w:after="0" w:line="240" w:lineRule="auto"/>
      </w:pPr>
      <w:r>
        <w:pict>
          <v:shape id="_x0000_i1132" o:spt="75" type="#_x0000_t75" style="height:18.6pt;width:20.4pt;" filled="f" stroked="f" coordsize="21600,21600">
            <v:path/>
            <v:fill on="f" focussize="0,0"/>
            <v:stroke on="f" joinstyle="miter"/>
            <v:imagedata r:id="rId12" embosscolor="#FFFFFF" o:title=""/>
            <o:lock v:ext="edit" aspectratio="t"/>
            <w10:wrap type="none"/>
            <w10:anchorlock/>
          </v:shape>
        </w:pict>
      </w:r>
      <w:r>
        <w:t>Satisfied</w:t>
      </w:r>
    </w:p>
    <w:p>
      <w:pPr>
        <w:numPr>
          <w:ilvl w:val="0"/>
          <w:numId w:val="31"/>
        </w:numPr>
        <w:spacing w:before="0" w:after="0" w:line="240" w:lineRule="auto"/>
      </w:pPr>
      <w:r>
        <w:pict>
          <v:shape id="_x0000_i1133" o:spt="75" type="#_x0000_t75" style="height:18.6pt;width:20.4pt;" filled="f" stroked="f" coordsize="21600,21600">
            <v:path/>
            <v:fill on="f" focussize="0,0"/>
            <v:stroke on="f" joinstyle="miter"/>
            <v:imagedata r:id="rId12" embosscolor="#FFFFFF" o:title=""/>
            <o:lock v:ext="edit" aspectratio="t"/>
            <w10:wrap type="none"/>
            <w10:anchorlock/>
          </v:shape>
        </w:pict>
      </w:r>
      <w:r>
        <w:t>Neutral</w:t>
      </w:r>
    </w:p>
    <w:p>
      <w:pPr>
        <w:numPr>
          <w:ilvl w:val="0"/>
          <w:numId w:val="31"/>
        </w:numPr>
        <w:spacing w:before="0" w:after="0" w:line="240" w:lineRule="auto"/>
      </w:pPr>
      <w:r>
        <w:pict>
          <v:shape id="_x0000_i1134" o:spt="75" type="#_x0000_t75" style="height:18.6pt;width:20.4pt;" filled="f" stroked="f" coordsize="21600,21600">
            <v:path/>
            <v:fill on="f" focussize="0,0"/>
            <v:stroke on="f" joinstyle="miter"/>
            <v:imagedata r:id="rId12" embosscolor="#FFFFFF" o:title=""/>
            <o:lock v:ext="edit" aspectratio="t"/>
            <w10:wrap type="none"/>
            <w10:anchorlock/>
          </v:shape>
        </w:pict>
      </w:r>
      <w:r>
        <w:t>Dissatisfied</w:t>
      </w:r>
    </w:p>
    <w:p>
      <w:pPr>
        <w:numPr>
          <w:ilvl w:val="0"/>
          <w:numId w:val="31"/>
        </w:numPr>
        <w:spacing w:before="0" w:after="0" w:line="240" w:lineRule="auto"/>
      </w:pPr>
      <w:r>
        <w:pict>
          <v:shape id="_x0000_i1135" o:spt="75" type="#_x0000_t75" style="height:18.6pt;width:20.4pt;" filled="f" stroked="f" coordsize="21600,21600">
            <v:path/>
            <v:fill on="f" focussize="0,0"/>
            <v:stroke on="f" joinstyle="miter"/>
            <v:imagedata r:id="rId12" embosscolor="#FFFFFF" o:title=""/>
            <o:lock v:ext="edit" aspectratio="t"/>
            <w10:wrap type="none"/>
            <w10:anchorlock/>
          </v:shape>
        </w:pict>
      </w:r>
      <w:r>
        <w:t>Very Dissatisfied</w:t>
      </w:r>
    </w:p>
    <w:p>
      <w:pPr>
        <w:spacing w:before="0" w:after="0" w:line="240" w:lineRule="auto"/>
      </w:pPr>
      <w:r>
        <w:pict>
          <v:rect id="_x0000_i1136" o:spt="1" style="height:1.5pt;width:0pt;" fillcolor="#A0A0A0" filled="t" stroked="f" coordsize="21600,21600" o:hr="t" o:hrstd="t" o:hralign="center">
            <v:path/>
            <v:fill on="t" focussize="0,0"/>
            <v:stroke on="f"/>
            <v:imagedata o:title=""/>
            <o:lock v:ext="edit"/>
            <w10:wrap type="none"/>
            <w10:anchorlock/>
          </v:rect>
        </w:pict>
      </w:r>
    </w:p>
    <w:p>
      <w:pPr>
        <w:spacing w:before="0" w:after="0" w:line="240" w:lineRule="auto"/>
        <w:rPr>
          <w:b/>
          <w:bCs/>
        </w:rPr>
      </w:pPr>
    </w:p>
    <w:p>
      <w:pPr>
        <w:spacing w:before="0" w:after="0" w:line="240" w:lineRule="auto"/>
        <w:rPr>
          <w:b/>
          <w:bCs/>
        </w:rPr>
      </w:pPr>
      <w:r>
        <w:rPr>
          <w:b/>
          <w:bCs/>
        </w:rPr>
        <w:t>SECTION D: FACTORS INFLUENCING EFFECTIVENESS (Objective 3)</w:t>
      </w:r>
    </w:p>
    <w:p>
      <w:pPr>
        <w:spacing w:before="0" w:after="0" w:line="240" w:lineRule="auto"/>
        <w:rPr>
          <w:b/>
          <w:bCs/>
        </w:rPr>
      </w:pPr>
      <w:r>
        <w:rPr>
          <w:b/>
          <w:bCs/>
        </w:rPr>
        <w:t>D1. Key Factors Influencing Effectiveness</w:t>
      </w:r>
    </w:p>
    <w:p>
      <w:pPr>
        <w:spacing w:before="0" w:after="0" w:line="240" w:lineRule="auto"/>
      </w:pPr>
      <w:r>
        <w:t>What factors do you believe influence the effectiveness of the PSSSF in enhancing welfare post-merger? (Select all that apply)</w:t>
      </w:r>
    </w:p>
    <w:p>
      <w:pPr>
        <w:numPr>
          <w:ilvl w:val="0"/>
          <w:numId w:val="32"/>
        </w:numPr>
        <w:spacing w:before="0" w:after="0" w:line="240" w:lineRule="auto"/>
      </w:pPr>
      <w:r>
        <w:pict>
          <v:shape id="_x0000_i1137" o:spt="75" type="#_x0000_t75" style="height:18.6pt;width:20.4pt;" filled="f" stroked="f" coordsize="21600,21600">
            <v:path/>
            <v:fill on="f" focussize="0,0"/>
            <v:stroke on="f" joinstyle="miter"/>
            <v:imagedata r:id="rId12" embosscolor="#FFFFFF" o:title=""/>
            <o:lock v:ext="edit" aspectratio="t"/>
            <w10:wrap type="none"/>
            <w10:anchorlock/>
          </v:shape>
        </w:pict>
      </w:r>
      <w:r>
        <w:t>Governance</w:t>
      </w:r>
    </w:p>
    <w:p>
      <w:pPr>
        <w:numPr>
          <w:ilvl w:val="0"/>
          <w:numId w:val="32"/>
        </w:numPr>
        <w:spacing w:before="0" w:after="0" w:line="240" w:lineRule="auto"/>
      </w:pPr>
      <w:r>
        <w:pict>
          <v:shape id="_x0000_i1138" o:spt="75" type="#_x0000_t75" style="height:18.6pt;width:20.4pt;" filled="f" stroked="f" coordsize="21600,21600">
            <v:path/>
            <v:fill on="f" focussize="0,0"/>
            <v:stroke on="f" joinstyle="miter"/>
            <v:imagedata r:id="rId12" embosscolor="#FFFFFF" o:title=""/>
            <o:lock v:ext="edit" aspectratio="t"/>
            <w10:wrap type="none"/>
            <w10:anchorlock/>
          </v:shape>
        </w:pict>
      </w:r>
      <w:r>
        <w:t>Financial Management</w:t>
      </w:r>
    </w:p>
    <w:p>
      <w:pPr>
        <w:numPr>
          <w:ilvl w:val="0"/>
          <w:numId w:val="32"/>
        </w:numPr>
        <w:spacing w:before="0" w:after="0" w:line="240" w:lineRule="auto"/>
      </w:pPr>
      <w:r>
        <w:pict>
          <v:shape id="_x0000_i1139" o:spt="75" type="#_x0000_t75" style="height:18.6pt;width:20.4pt;" filled="f" stroked="f" coordsize="21600,21600">
            <v:path/>
            <v:fill on="f" focussize="0,0"/>
            <v:stroke on="f" joinstyle="miter"/>
            <v:imagedata r:id="rId12" embosscolor="#FFFFFF" o:title=""/>
            <o:lock v:ext="edit" aspectratio="t"/>
            <w10:wrap type="none"/>
            <w10:anchorlock/>
          </v:shape>
        </w:pict>
      </w:r>
      <w:r>
        <w:t>Stakeholder Engagement</w:t>
      </w:r>
    </w:p>
    <w:p>
      <w:pPr>
        <w:numPr>
          <w:ilvl w:val="0"/>
          <w:numId w:val="32"/>
        </w:numPr>
        <w:spacing w:before="0" w:after="0" w:line="240" w:lineRule="auto"/>
      </w:pPr>
      <w:r>
        <w:pict>
          <v:shape id="_x0000_i1140" o:spt="75" type="#_x0000_t75" style="height:18.6pt;width:20.4pt;" filled="f" stroked="f" coordsize="21600,21600">
            <v:path/>
            <v:fill on="f" focussize="0,0"/>
            <v:stroke on="f" joinstyle="miter"/>
            <v:imagedata r:id="rId12" embosscolor="#FFFFFF" o:title=""/>
            <o:lock v:ext="edit" aspectratio="t"/>
            <w10:wrap type="none"/>
            <w10:anchorlock/>
          </v:shape>
        </w:pict>
      </w:r>
      <w:r>
        <w:t>Communication Strategies</w:t>
      </w:r>
    </w:p>
    <w:p>
      <w:pPr>
        <w:numPr>
          <w:ilvl w:val="0"/>
          <w:numId w:val="32"/>
        </w:numPr>
        <w:spacing w:before="0" w:after="0" w:line="240" w:lineRule="auto"/>
      </w:pPr>
      <w:r>
        <w:pict>
          <v:shape id="_x0000_i1141" o:spt="75" type="#_x0000_t75" style="height:18.6pt;width:20.4pt;" filled="f" stroked="f" coordsize="21600,21600">
            <v:path/>
            <v:fill on="f" focussize="0,0"/>
            <v:stroke on="f" joinstyle="miter"/>
            <v:imagedata r:id="rId12" embosscolor="#FFFFFF" o:title=""/>
            <o:lock v:ext="edit" aspectratio="t"/>
            <w10:wrap type="none"/>
            <w10:anchorlock/>
          </v:shape>
        </w:pict>
      </w:r>
      <w:r>
        <w:t>Other (Please specify): __________</w:t>
      </w:r>
    </w:p>
    <w:p>
      <w:pPr>
        <w:spacing w:before="0" w:after="0" w:line="240" w:lineRule="auto"/>
        <w:rPr>
          <w:b/>
          <w:bCs/>
        </w:rPr>
      </w:pPr>
      <w:r>
        <w:rPr>
          <w:b/>
          <w:bCs/>
        </w:rPr>
        <w:t>D2. Communication Strategies</w:t>
      </w:r>
    </w:p>
    <w:p>
      <w:pPr>
        <w:spacing w:before="0" w:after="0" w:line="240" w:lineRule="auto"/>
      </w:pPr>
      <w:r>
        <w:t>How effective do you find the PSSSF's communication strategies post-merger?</w:t>
      </w:r>
    </w:p>
    <w:p>
      <w:pPr>
        <w:numPr>
          <w:ilvl w:val="0"/>
          <w:numId w:val="33"/>
        </w:numPr>
        <w:spacing w:before="0" w:after="0" w:line="240" w:lineRule="auto"/>
      </w:pPr>
      <w:r>
        <w:pict>
          <v:shape id="_x0000_i1142" o:spt="75" type="#_x0000_t75" style="height:18.6pt;width:20.4pt;" filled="f" stroked="f" coordsize="21600,21600">
            <v:path/>
            <v:fill on="f" focussize="0,0"/>
            <v:stroke on="f" joinstyle="miter"/>
            <v:imagedata r:id="rId12" embosscolor="#FFFFFF" o:title=""/>
            <o:lock v:ext="edit" aspectratio="t"/>
            <w10:wrap type="none"/>
            <w10:anchorlock/>
          </v:shape>
        </w:pict>
      </w:r>
      <w:r>
        <w:t>Very Effective</w:t>
      </w:r>
    </w:p>
    <w:p>
      <w:pPr>
        <w:numPr>
          <w:ilvl w:val="0"/>
          <w:numId w:val="33"/>
        </w:numPr>
        <w:spacing w:before="0" w:after="0" w:line="240" w:lineRule="auto"/>
      </w:pPr>
      <w:r>
        <w:pict>
          <v:shape id="_x0000_i1143" o:spt="75" type="#_x0000_t75" style="height:18.6pt;width:20.4pt;" filled="f" stroked="f" coordsize="21600,21600">
            <v:path/>
            <v:fill on="f" focussize="0,0"/>
            <v:stroke on="f" joinstyle="miter"/>
            <v:imagedata r:id="rId12" embosscolor="#FFFFFF" o:title=""/>
            <o:lock v:ext="edit" aspectratio="t"/>
            <w10:wrap type="none"/>
            <w10:anchorlock/>
          </v:shape>
        </w:pict>
      </w:r>
      <w:r>
        <w:t>Effective</w:t>
      </w:r>
    </w:p>
    <w:p>
      <w:pPr>
        <w:numPr>
          <w:ilvl w:val="0"/>
          <w:numId w:val="33"/>
        </w:numPr>
        <w:spacing w:before="0" w:after="0" w:line="240" w:lineRule="auto"/>
      </w:pPr>
      <w:r>
        <w:pict>
          <v:shape id="_x0000_i1144" o:spt="75" type="#_x0000_t75" style="height:18.6pt;width:20.4pt;" filled="f" stroked="f" coordsize="21600,21600">
            <v:path/>
            <v:fill on="f" focussize="0,0"/>
            <v:stroke on="f" joinstyle="miter"/>
            <v:imagedata r:id="rId12" embosscolor="#FFFFFF" o:title=""/>
            <o:lock v:ext="edit" aspectratio="t"/>
            <w10:wrap type="none"/>
            <w10:anchorlock/>
          </v:shape>
        </w:pict>
      </w:r>
      <w:r>
        <w:t>Neutral</w:t>
      </w:r>
    </w:p>
    <w:p>
      <w:pPr>
        <w:numPr>
          <w:ilvl w:val="0"/>
          <w:numId w:val="33"/>
        </w:numPr>
        <w:spacing w:before="0" w:after="0" w:line="240" w:lineRule="auto"/>
      </w:pPr>
      <w:r>
        <w:pict>
          <v:shape id="_x0000_i1145" o:spt="75" type="#_x0000_t75" style="height:18.6pt;width:20.4pt;" filled="f" stroked="f" coordsize="21600,21600">
            <v:path/>
            <v:fill on="f" focussize="0,0"/>
            <v:stroke on="f" joinstyle="miter"/>
            <v:imagedata r:id="rId12" embosscolor="#FFFFFF" o:title=""/>
            <o:lock v:ext="edit" aspectratio="t"/>
            <w10:wrap type="none"/>
            <w10:anchorlock/>
          </v:shape>
        </w:pict>
      </w:r>
      <w:r>
        <w:t>Ineffective</w:t>
      </w:r>
    </w:p>
    <w:p>
      <w:pPr>
        <w:numPr>
          <w:ilvl w:val="0"/>
          <w:numId w:val="33"/>
        </w:numPr>
        <w:spacing w:before="0" w:after="0" w:line="240" w:lineRule="auto"/>
      </w:pPr>
      <w:r>
        <w:pict>
          <v:shape id="_x0000_i1146" o:spt="75" type="#_x0000_t75" style="height:18.6pt;width:20.4pt;" filled="f" stroked="f" coordsize="21600,21600">
            <v:path/>
            <v:fill on="f" focussize="0,0"/>
            <v:stroke on="f" joinstyle="miter"/>
            <v:imagedata r:id="rId12" embosscolor="#FFFFFF" o:title=""/>
            <o:lock v:ext="edit" aspectratio="t"/>
            <w10:wrap type="none"/>
            <w10:anchorlock/>
          </v:shape>
        </w:pict>
      </w:r>
      <w:r>
        <w:t>Very Ineffective</w:t>
      </w:r>
    </w:p>
    <w:p>
      <w:pPr>
        <w:spacing w:before="0" w:after="0" w:line="240" w:lineRule="auto"/>
        <w:rPr>
          <w:b/>
          <w:bCs/>
        </w:rPr>
      </w:pPr>
      <w:r>
        <w:rPr>
          <w:b/>
          <w:bCs/>
        </w:rPr>
        <w:t>D3. Addressing Needs and Concerns</w:t>
      </w:r>
    </w:p>
    <w:p>
      <w:pPr>
        <w:spacing w:before="0" w:after="0" w:line="240" w:lineRule="auto"/>
      </w:pPr>
      <w:r>
        <w:t>Do you feel that the PSSSF adequately addresses your needs and concerns?</w:t>
      </w:r>
    </w:p>
    <w:p>
      <w:pPr>
        <w:numPr>
          <w:ilvl w:val="0"/>
          <w:numId w:val="34"/>
        </w:numPr>
        <w:spacing w:before="0" w:after="0" w:line="240" w:lineRule="auto"/>
      </w:pPr>
      <w:r>
        <w:pict>
          <v:shape id="_x0000_i1147" o:spt="75" type="#_x0000_t75" style="height:18.6pt;width:20.4pt;" filled="f" stroked="f" coordsize="21600,21600">
            <v:path/>
            <v:fill on="f" focussize="0,0"/>
            <v:stroke on="f" joinstyle="miter"/>
            <v:imagedata r:id="rId12" embosscolor="#FFFFFF" o:title=""/>
            <o:lock v:ext="edit" aspectratio="t"/>
            <w10:wrap type="none"/>
            <w10:anchorlock/>
          </v:shape>
        </w:pict>
      </w:r>
      <w:r>
        <w:t>Strongly Agree</w:t>
      </w:r>
    </w:p>
    <w:p>
      <w:pPr>
        <w:numPr>
          <w:ilvl w:val="0"/>
          <w:numId w:val="34"/>
        </w:numPr>
        <w:spacing w:before="0" w:after="0" w:line="240" w:lineRule="auto"/>
      </w:pPr>
      <w:r>
        <w:pict>
          <v:shape id="_x0000_i1148" o:spt="75" type="#_x0000_t75" style="height:18.6pt;width:20.4pt;" filled="f" stroked="f" coordsize="21600,21600">
            <v:path/>
            <v:fill on="f" focussize="0,0"/>
            <v:stroke on="f" joinstyle="miter"/>
            <v:imagedata r:id="rId12" embosscolor="#FFFFFF" o:title=""/>
            <o:lock v:ext="edit" aspectratio="t"/>
            <w10:wrap type="none"/>
            <w10:anchorlock/>
          </v:shape>
        </w:pict>
      </w:r>
      <w:r>
        <w:t>Agree</w:t>
      </w:r>
    </w:p>
    <w:p>
      <w:pPr>
        <w:numPr>
          <w:ilvl w:val="0"/>
          <w:numId w:val="34"/>
        </w:numPr>
        <w:spacing w:before="0" w:after="0" w:line="240" w:lineRule="auto"/>
      </w:pPr>
      <w:r>
        <w:pict>
          <v:shape id="_x0000_i1149" o:spt="75" type="#_x0000_t75" style="height:18.6pt;width:20.4pt;" filled="f" stroked="f" coordsize="21600,21600">
            <v:path/>
            <v:fill on="f" focussize="0,0"/>
            <v:stroke on="f" joinstyle="miter"/>
            <v:imagedata r:id="rId12" embosscolor="#FFFFFF" o:title=""/>
            <o:lock v:ext="edit" aspectratio="t"/>
            <w10:wrap type="none"/>
            <w10:anchorlock/>
          </v:shape>
        </w:pict>
      </w:r>
      <w:r>
        <w:t>Neutral</w:t>
      </w:r>
    </w:p>
    <w:p>
      <w:pPr>
        <w:numPr>
          <w:ilvl w:val="0"/>
          <w:numId w:val="34"/>
        </w:numPr>
        <w:spacing w:before="0" w:after="0" w:line="240" w:lineRule="auto"/>
      </w:pPr>
      <w:r>
        <w:pict>
          <v:shape id="_x0000_i1150" o:spt="75" type="#_x0000_t75" style="height:18.6pt;width:20.4pt;" filled="f" stroked="f" coordsize="21600,21600">
            <v:path/>
            <v:fill on="f" focussize="0,0"/>
            <v:stroke on="f" joinstyle="miter"/>
            <v:imagedata r:id="rId12" embosscolor="#FFFFFF" o:title=""/>
            <o:lock v:ext="edit" aspectratio="t"/>
            <w10:wrap type="none"/>
            <w10:anchorlock/>
          </v:shape>
        </w:pict>
      </w:r>
      <w:r>
        <w:t>Disagree</w:t>
      </w:r>
    </w:p>
    <w:p>
      <w:pPr>
        <w:numPr>
          <w:ilvl w:val="0"/>
          <w:numId w:val="34"/>
        </w:numPr>
        <w:spacing w:before="0" w:after="0" w:line="240" w:lineRule="auto"/>
      </w:pPr>
      <w:r>
        <w:pict>
          <v:shape id="_x0000_i1151" o:spt="75" type="#_x0000_t75" style="height:18.6pt;width:20.4pt;" filled="f" stroked="f" coordsize="21600,21600">
            <v:path/>
            <v:fill on="f" focussize="0,0"/>
            <v:stroke on="f" joinstyle="miter"/>
            <v:imagedata r:id="rId12" embosscolor="#FFFFFF" o:title=""/>
            <o:lock v:ext="edit" aspectratio="t"/>
            <w10:wrap type="none"/>
            <w10:anchorlock/>
          </v:shape>
        </w:pict>
      </w:r>
      <w:r>
        <w:t>Strongly Disagree</w:t>
      </w:r>
    </w:p>
    <w:p>
      <w:pPr>
        <w:spacing w:before="0" w:after="0" w:line="240" w:lineRule="auto"/>
        <w:rPr>
          <w:b/>
          <w:bCs/>
        </w:rPr>
      </w:pPr>
      <w:r>
        <w:rPr>
          <w:b/>
          <w:bCs/>
        </w:rPr>
        <w:t>D4. Overall Effectiveness</w:t>
      </w:r>
    </w:p>
    <w:p>
      <w:pPr>
        <w:spacing w:before="0" w:after="0" w:line="240" w:lineRule="auto"/>
      </w:pPr>
      <w:r>
        <w:t>How would you rate the overall effectiveness of the PSSSF in enhancing your welfare post-merger?</w:t>
      </w:r>
    </w:p>
    <w:p>
      <w:pPr>
        <w:numPr>
          <w:ilvl w:val="0"/>
          <w:numId w:val="35"/>
        </w:numPr>
        <w:spacing w:before="0" w:after="0" w:line="240" w:lineRule="auto"/>
      </w:pPr>
      <w:r>
        <w:pict>
          <v:shape id="_x0000_i1152" o:spt="75" type="#_x0000_t75" style="height:18.6pt;width:20.4pt;" filled="f" stroked="f" coordsize="21600,21600">
            <v:path/>
            <v:fill on="f" focussize="0,0"/>
            <v:stroke on="f" joinstyle="miter"/>
            <v:imagedata r:id="rId12" embosscolor="#FFFFFF" o:title=""/>
            <o:lock v:ext="edit" aspectratio="t"/>
            <w10:wrap type="none"/>
            <w10:anchorlock/>
          </v:shape>
        </w:pict>
      </w:r>
      <w:r>
        <w:t>Excellent</w:t>
      </w:r>
    </w:p>
    <w:p>
      <w:pPr>
        <w:numPr>
          <w:ilvl w:val="0"/>
          <w:numId w:val="35"/>
        </w:numPr>
        <w:spacing w:before="0" w:after="0" w:line="240" w:lineRule="auto"/>
      </w:pPr>
      <w:r>
        <w:pict>
          <v:shape id="_x0000_i1153" o:spt="75" type="#_x0000_t75" style="height:18.6pt;width:20.4pt;" filled="f" stroked="f" coordsize="21600,21600">
            <v:path/>
            <v:fill on="f" focussize="0,0"/>
            <v:stroke on="f" joinstyle="miter"/>
            <v:imagedata r:id="rId12" embosscolor="#FFFFFF" o:title=""/>
            <o:lock v:ext="edit" aspectratio="t"/>
            <w10:wrap type="none"/>
            <w10:anchorlock/>
          </v:shape>
        </w:pict>
      </w:r>
      <w:r>
        <w:t>Good</w:t>
      </w:r>
    </w:p>
    <w:p>
      <w:pPr>
        <w:numPr>
          <w:ilvl w:val="0"/>
          <w:numId w:val="35"/>
        </w:numPr>
        <w:spacing w:before="0" w:after="0" w:line="240" w:lineRule="auto"/>
      </w:pPr>
      <w:r>
        <w:pict>
          <v:shape id="_x0000_i1154" o:spt="75" type="#_x0000_t75" style="height:18.6pt;width:20.4pt;" filled="f" stroked="f" coordsize="21600,21600">
            <v:path/>
            <v:fill on="f" focussize="0,0"/>
            <v:stroke on="f" joinstyle="miter"/>
            <v:imagedata r:id="rId12" embosscolor="#FFFFFF" o:title=""/>
            <o:lock v:ext="edit" aspectratio="t"/>
            <w10:wrap type="none"/>
            <w10:anchorlock/>
          </v:shape>
        </w:pict>
      </w:r>
      <w:r>
        <w:t>Average</w:t>
      </w:r>
    </w:p>
    <w:p>
      <w:pPr>
        <w:numPr>
          <w:ilvl w:val="0"/>
          <w:numId w:val="35"/>
        </w:numPr>
        <w:spacing w:before="0" w:after="0" w:line="240" w:lineRule="auto"/>
      </w:pPr>
      <w:r>
        <w:pict>
          <v:shape id="_x0000_i1155" o:spt="75" type="#_x0000_t75" style="height:18.6pt;width:20.4pt;" filled="f" stroked="f" coordsize="21600,21600">
            <v:path/>
            <v:fill on="f" focussize="0,0"/>
            <v:stroke on="f" joinstyle="miter"/>
            <v:imagedata r:id="rId12" embosscolor="#FFFFFF" o:title=""/>
            <o:lock v:ext="edit" aspectratio="t"/>
            <w10:wrap type="none"/>
            <w10:anchorlock/>
          </v:shape>
        </w:pict>
      </w:r>
      <w:r>
        <w:t>Poor</w:t>
      </w:r>
    </w:p>
    <w:p>
      <w:pPr>
        <w:numPr>
          <w:ilvl w:val="0"/>
          <w:numId w:val="35"/>
        </w:numPr>
        <w:spacing w:before="0" w:after="0" w:line="240" w:lineRule="auto"/>
      </w:pPr>
      <w:r>
        <w:pict>
          <v:shape id="_x0000_i1156" o:spt="75" type="#_x0000_t75" style="height:18.6pt;width:20.4pt;" filled="f" stroked="f" coordsize="21600,21600">
            <v:path/>
            <v:fill on="f" focussize="0,0"/>
            <v:stroke on="f" joinstyle="miter"/>
            <v:imagedata r:id="rId12" embosscolor="#FFFFFF" o:title=""/>
            <o:lock v:ext="edit" aspectratio="t"/>
            <w10:wrap type="none"/>
            <w10:anchorlock/>
          </v:shape>
        </w:pict>
      </w:r>
      <w:r>
        <w:t>Very Poor</w:t>
      </w:r>
    </w:p>
    <w:p>
      <w:pPr>
        <w:spacing w:before="0" w:after="0" w:line="240" w:lineRule="auto"/>
        <w:rPr>
          <w:b/>
          <w:bCs/>
        </w:rPr>
      </w:pPr>
      <w:r>
        <w:rPr>
          <w:b/>
          <w:bCs/>
        </w:rPr>
        <w:t>D5. Leadership and Governance</w:t>
      </w:r>
    </w:p>
    <w:p>
      <w:pPr>
        <w:spacing w:before="0" w:after="0" w:line="240" w:lineRule="auto"/>
      </w:pPr>
      <w:r>
        <w:t>How would you assess the effectiveness of leadership within PSSSF post-merger in enhancing public servants' welfare?</w:t>
      </w:r>
    </w:p>
    <w:p>
      <w:pPr>
        <w:numPr>
          <w:ilvl w:val="0"/>
          <w:numId w:val="36"/>
        </w:numPr>
        <w:spacing w:before="0" w:after="0" w:line="240" w:lineRule="auto"/>
      </w:pPr>
      <w:r>
        <w:pict>
          <v:shape id="_x0000_i1157" o:spt="75" type="#_x0000_t75" style="height:18.6pt;width:20.4pt;" filled="f" stroked="f" coordsize="21600,21600">
            <v:path/>
            <v:fill on="f" focussize="0,0"/>
            <v:stroke on="f" joinstyle="miter"/>
            <v:imagedata r:id="rId12" embosscolor="#FFFFFF" o:title=""/>
            <o:lock v:ext="edit" aspectratio="t"/>
            <w10:wrap type="none"/>
            <w10:anchorlock/>
          </v:shape>
        </w:pict>
      </w:r>
      <w:r>
        <w:t>Very Effective</w:t>
      </w:r>
    </w:p>
    <w:p>
      <w:pPr>
        <w:numPr>
          <w:ilvl w:val="0"/>
          <w:numId w:val="36"/>
        </w:numPr>
        <w:spacing w:before="0" w:after="0" w:line="240" w:lineRule="auto"/>
      </w:pPr>
      <w:r>
        <w:pict>
          <v:shape id="_x0000_i1158" o:spt="75" type="#_x0000_t75" style="height:18.6pt;width:20.4pt;" filled="f" stroked="f" coordsize="21600,21600">
            <v:path/>
            <v:fill on="f" focussize="0,0"/>
            <v:stroke on="f" joinstyle="miter"/>
            <v:imagedata r:id="rId12" embosscolor="#FFFFFF" o:title=""/>
            <o:lock v:ext="edit" aspectratio="t"/>
            <w10:wrap type="none"/>
            <w10:anchorlock/>
          </v:shape>
        </w:pict>
      </w:r>
      <w:r>
        <w:t>Effective</w:t>
      </w:r>
    </w:p>
    <w:p>
      <w:pPr>
        <w:numPr>
          <w:ilvl w:val="0"/>
          <w:numId w:val="36"/>
        </w:numPr>
        <w:spacing w:before="0" w:after="0" w:line="240" w:lineRule="auto"/>
      </w:pPr>
      <w:r>
        <w:pict>
          <v:shape id="_x0000_i1159" o:spt="75" type="#_x0000_t75" style="height:18.6pt;width:20.4pt;" filled="f" stroked="f" coordsize="21600,21600">
            <v:path/>
            <v:fill on="f" focussize="0,0"/>
            <v:stroke on="f" joinstyle="miter"/>
            <v:imagedata r:id="rId12" embosscolor="#FFFFFF" o:title=""/>
            <o:lock v:ext="edit" aspectratio="t"/>
            <w10:wrap type="none"/>
            <w10:anchorlock/>
          </v:shape>
        </w:pict>
      </w:r>
      <w:r>
        <w:t>Neutral</w:t>
      </w:r>
    </w:p>
    <w:p>
      <w:pPr>
        <w:numPr>
          <w:ilvl w:val="0"/>
          <w:numId w:val="36"/>
        </w:numPr>
        <w:spacing w:before="0" w:after="0" w:line="240" w:lineRule="auto"/>
      </w:pPr>
      <w:r>
        <w:pict>
          <v:shape id="_x0000_i1160" o:spt="75" type="#_x0000_t75" style="height:18.6pt;width:20.4pt;" filled="f" stroked="f" coordsize="21600,21600">
            <v:path/>
            <v:fill on="f" focussize="0,0"/>
            <v:stroke on="f" joinstyle="miter"/>
            <v:imagedata r:id="rId12" embosscolor="#FFFFFF" o:title=""/>
            <o:lock v:ext="edit" aspectratio="t"/>
            <w10:wrap type="none"/>
            <w10:anchorlock/>
          </v:shape>
        </w:pict>
      </w:r>
      <w:r>
        <w:t>Ineffective</w:t>
      </w:r>
    </w:p>
    <w:p>
      <w:pPr>
        <w:numPr>
          <w:ilvl w:val="0"/>
          <w:numId w:val="36"/>
        </w:numPr>
        <w:spacing w:before="0" w:after="0" w:line="240" w:lineRule="auto"/>
      </w:pPr>
      <w:r>
        <w:pict>
          <v:shape id="_x0000_i1161" o:spt="75" type="#_x0000_t75" style="height:18.6pt;width:20.4pt;" filled="f" stroked="f" coordsize="21600,21600">
            <v:path/>
            <v:fill on="f" focussize="0,0"/>
            <v:stroke on="f" joinstyle="miter"/>
            <v:imagedata r:id="rId12" embosscolor="#FFFFFF" o:title=""/>
            <o:lock v:ext="edit" aspectratio="t"/>
            <w10:wrap type="none"/>
            <w10:anchorlock/>
          </v:shape>
        </w:pict>
      </w:r>
      <w:r>
        <w:t>Very Ineffective</w:t>
      </w:r>
    </w:p>
    <w:p>
      <w:pPr>
        <w:spacing w:before="0" w:after="0" w:line="240" w:lineRule="auto"/>
        <w:rPr>
          <w:b/>
          <w:bCs/>
        </w:rPr>
      </w:pPr>
      <w:r>
        <w:rPr>
          <w:b/>
          <w:bCs/>
        </w:rPr>
        <w:t>D6. Resource Allocation</w:t>
      </w:r>
    </w:p>
    <w:p>
      <w:pPr>
        <w:spacing w:before="0" w:after="0" w:line="240" w:lineRule="auto"/>
      </w:pPr>
      <w:r>
        <w:t>How would you assess the allocation of resources (funds, personnel, technology) by PSSSF to improve welfare services post-merger?</w:t>
      </w:r>
    </w:p>
    <w:p>
      <w:pPr>
        <w:numPr>
          <w:ilvl w:val="0"/>
          <w:numId w:val="37"/>
        </w:numPr>
        <w:spacing w:before="0" w:after="0" w:line="240" w:lineRule="auto"/>
      </w:pPr>
      <w:r>
        <w:pict>
          <v:shape id="_x0000_i1162" o:spt="75" type="#_x0000_t75" style="height:18.6pt;width:20.4pt;" filled="f" stroked="f" coordsize="21600,21600">
            <v:path/>
            <v:fill on="f" focussize="0,0"/>
            <v:stroke on="f" joinstyle="miter"/>
            <v:imagedata r:id="rId12" embosscolor="#FFFFFF" o:title=""/>
            <o:lock v:ext="edit" aspectratio="t"/>
            <w10:wrap type="none"/>
            <w10:anchorlock/>
          </v:shape>
        </w:pict>
      </w:r>
      <w:r>
        <w:t>Very Adequate</w:t>
      </w:r>
    </w:p>
    <w:p>
      <w:pPr>
        <w:numPr>
          <w:ilvl w:val="0"/>
          <w:numId w:val="37"/>
        </w:numPr>
        <w:spacing w:before="0" w:after="0" w:line="240" w:lineRule="auto"/>
      </w:pPr>
      <w:r>
        <w:pict>
          <v:shape id="_x0000_i1163" o:spt="75" type="#_x0000_t75" style="height:18.6pt;width:20.4pt;" filled="f" stroked="f" coordsize="21600,21600">
            <v:path/>
            <v:fill on="f" focussize="0,0"/>
            <v:stroke on="f" joinstyle="miter"/>
            <v:imagedata r:id="rId12" embosscolor="#FFFFFF" o:title=""/>
            <o:lock v:ext="edit" aspectratio="t"/>
            <w10:wrap type="none"/>
            <w10:anchorlock/>
          </v:shape>
        </w:pict>
      </w:r>
      <w:r>
        <w:t>Adequate</w:t>
      </w:r>
    </w:p>
    <w:p>
      <w:pPr>
        <w:numPr>
          <w:ilvl w:val="0"/>
          <w:numId w:val="37"/>
        </w:numPr>
        <w:spacing w:before="0" w:after="0" w:line="240" w:lineRule="auto"/>
      </w:pPr>
      <w:r>
        <w:pict>
          <v:shape id="_x0000_i1164" o:spt="75" type="#_x0000_t75" style="height:18.6pt;width:20.4pt;" filled="f" stroked="f" coordsize="21600,21600">
            <v:path/>
            <v:fill on="f" focussize="0,0"/>
            <v:stroke on="f" joinstyle="miter"/>
            <v:imagedata r:id="rId12" embosscolor="#FFFFFF" o:title=""/>
            <o:lock v:ext="edit" aspectratio="t"/>
            <w10:wrap type="none"/>
            <w10:anchorlock/>
          </v:shape>
        </w:pict>
      </w:r>
      <w:r>
        <w:t>Neutral</w:t>
      </w:r>
    </w:p>
    <w:p>
      <w:pPr>
        <w:numPr>
          <w:ilvl w:val="0"/>
          <w:numId w:val="37"/>
        </w:numPr>
        <w:spacing w:before="0" w:after="0" w:line="240" w:lineRule="auto"/>
      </w:pPr>
      <w:r>
        <w:pict>
          <v:shape id="_x0000_i1165" o:spt="75" type="#_x0000_t75" style="height:18.6pt;width:20.4pt;" filled="f" stroked="f" coordsize="21600,21600">
            <v:path/>
            <v:fill on="f" focussize="0,0"/>
            <v:stroke on="f" joinstyle="miter"/>
            <v:imagedata r:id="rId12" embosscolor="#FFFFFF" o:title=""/>
            <o:lock v:ext="edit" aspectratio="t"/>
            <w10:wrap type="none"/>
            <w10:anchorlock/>
          </v:shape>
        </w:pict>
      </w:r>
      <w:r>
        <w:t>Inadequate</w:t>
      </w:r>
    </w:p>
    <w:p>
      <w:pPr>
        <w:numPr>
          <w:ilvl w:val="0"/>
          <w:numId w:val="37"/>
        </w:numPr>
        <w:spacing w:before="0" w:after="0" w:line="240" w:lineRule="auto"/>
      </w:pPr>
      <w:r>
        <w:pict>
          <v:shape id="_x0000_i1166" o:spt="75" type="#_x0000_t75" style="height:18.6pt;width:20.4pt;" filled="f" stroked="f" coordsize="21600,21600">
            <v:path/>
            <v:fill on="f" focussize="0,0"/>
            <v:stroke on="f" joinstyle="miter"/>
            <v:imagedata r:id="rId12" embosscolor="#FFFFFF" o:title=""/>
            <o:lock v:ext="edit" aspectratio="t"/>
            <w10:wrap type="none"/>
            <w10:anchorlock/>
          </v:shape>
        </w:pict>
      </w:r>
      <w:r>
        <w:t>Very Inadequate</w:t>
      </w:r>
    </w:p>
    <w:p>
      <w:pPr>
        <w:spacing w:before="0" w:after="0" w:line="240" w:lineRule="auto"/>
      </w:pPr>
      <w:r>
        <w:pict>
          <v:rect id="_x0000_i1167" o:spt="1" style="height:1.5pt;width:0pt;" fillcolor="#A0A0A0" filled="t" stroked="f" coordsize="21600,21600" o:hr="t" o:hrstd="t" o:hralign="center">
            <v:path/>
            <v:fill on="t" focussize="0,0"/>
            <v:stroke on="f"/>
            <v:imagedata o:title=""/>
            <o:lock v:ext="edit"/>
            <w10:wrap type="none"/>
            <w10:anchorlock/>
          </v:rect>
        </w:pict>
      </w:r>
    </w:p>
    <w:p>
      <w:pPr>
        <w:spacing w:before="0" w:after="0" w:line="240" w:lineRule="auto"/>
        <w:rPr>
          <w:b/>
          <w:bCs/>
        </w:rPr>
      </w:pPr>
      <w:r>
        <w:rPr>
          <w:b/>
          <w:bCs/>
        </w:rPr>
        <w:t>SECTION E: OVERALL SATISFACTION AND SUGGESTIONS</w:t>
      </w:r>
    </w:p>
    <w:p>
      <w:pPr>
        <w:spacing w:before="0" w:after="0" w:line="240" w:lineRule="auto"/>
        <w:rPr>
          <w:b/>
          <w:bCs/>
        </w:rPr>
      </w:pPr>
      <w:r>
        <w:rPr>
          <w:b/>
          <w:bCs/>
        </w:rPr>
        <w:t>E1. Overall Satisfaction</w:t>
      </w:r>
    </w:p>
    <w:p>
      <w:pPr>
        <w:spacing w:before="0" w:after="0" w:line="240" w:lineRule="auto"/>
      </w:pPr>
      <w:r>
        <w:t>Overall, how satisfied are you with the PSSSF after the mergers and acquisitions?</w:t>
      </w:r>
    </w:p>
    <w:p>
      <w:pPr>
        <w:numPr>
          <w:ilvl w:val="0"/>
          <w:numId w:val="38"/>
        </w:numPr>
        <w:spacing w:before="0" w:after="0" w:line="240" w:lineRule="auto"/>
      </w:pPr>
      <w:r>
        <w:pict>
          <v:shape id="_x0000_i1168" o:spt="75" type="#_x0000_t75" style="height:18.6pt;width:20.4pt;" filled="f" stroked="f" coordsize="21600,21600">
            <v:path/>
            <v:fill on="f" focussize="0,0"/>
            <v:stroke on="f" joinstyle="miter"/>
            <v:imagedata r:id="rId12" embosscolor="#FFFFFF" o:title=""/>
            <o:lock v:ext="edit" aspectratio="t"/>
            <w10:wrap type="none"/>
            <w10:anchorlock/>
          </v:shape>
        </w:pict>
      </w:r>
      <w:r>
        <w:t>Very Satisfied</w:t>
      </w:r>
    </w:p>
    <w:p>
      <w:pPr>
        <w:numPr>
          <w:ilvl w:val="0"/>
          <w:numId w:val="38"/>
        </w:numPr>
        <w:spacing w:before="0" w:after="0" w:line="240" w:lineRule="auto"/>
      </w:pPr>
      <w:r>
        <w:pict>
          <v:shape id="_x0000_i1169" o:spt="75" type="#_x0000_t75" style="height:18.6pt;width:20.4pt;" filled="f" stroked="f" coordsize="21600,21600">
            <v:path/>
            <v:fill on="f" focussize="0,0"/>
            <v:stroke on="f" joinstyle="miter"/>
            <v:imagedata r:id="rId12" embosscolor="#FFFFFF" o:title=""/>
            <o:lock v:ext="edit" aspectratio="t"/>
            <w10:wrap type="none"/>
            <w10:anchorlock/>
          </v:shape>
        </w:pict>
      </w:r>
      <w:r>
        <w:t>Satisfied</w:t>
      </w:r>
    </w:p>
    <w:p>
      <w:pPr>
        <w:numPr>
          <w:ilvl w:val="0"/>
          <w:numId w:val="38"/>
        </w:numPr>
        <w:spacing w:before="0" w:after="0" w:line="240" w:lineRule="auto"/>
      </w:pPr>
      <w:r>
        <w:pict>
          <v:shape id="_x0000_i1170" o:spt="75" type="#_x0000_t75" style="height:18.6pt;width:20.4pt;" filled="f" stroked="f" coordsize="21600,21600">
            <v:path/>
            <v:fill on="f" focussize="0,0"/>
            <v:stroke on="f" joinstyle="miter"/>
            <v:imagedata r:id="rId12" embosscolor="#FFFFFF" o:title=""/>
            <o:lock v:ext="edit" aspectratio="t"/>
            <w10:wrap type="none"/>
            <w10:anchorlock/>
          </v:shape>
        </w:pict>
      </w:r>
      <w:r>
        <w:t>Neutral</w:t>
      </w:r>
    </w:p>
    <w:p>
      <w:pPr>
        <w:numPr>
          <w:ilvl w:val="0"/>
          <w:numId w:val="38"/>
        </w:numPr>
        <w:spacing w:before="0" w:after="0" w:line="240" w:lineRule="auto"/>
      </w:pPr>
      <w:r>
        <w:pict>
          <v:shape id="_x0000_i1171" o:spt="75" type="#_x0000_t75" style="height:18.6pt;width:20.4pt;" filled="f" stroked="f" coordsize="21600,21600">
            <v:path/>
            <v:fill on="f" focussize="0,0"/>
            <v:stroke on="f" joinstyle="miter"/>
            <v:imagedata r:id="rId12" embosscolor="#FFFFFF" o:title=""/>
            <o:lock v:ext="edit" aspectratio="t"/>
            <w10:wrap type="none"/>
            <w10:anchorlock/>
          </v:shape>
        </w:pict>
      </w:r>
      <w:r>
        <w:t>Dissatisfied</w:t>
      </w:r>
    </w:p>
    <w:p>
      <w:pPr>
        <w:numPr>
          <w:ilvl w:val="0"/>
          <w:numId w:val="38"/>
        </w:numPr>
        <w:spacing w:before="0" w:after="0" w:line="240" w:lineRule="auto"/>
      </w:pPr>
      <w:r>
        <w:pict>
          <v:shape id="_x0000_i1172" o:spt="75" type="#_x0000_t75" style="height:18.6pt;width:20.4pt;" filled="f" stroked="f" coordsize="21600,21600">
            <v:path/>
            <v:fill on="f" focussize="0,0"/>
            <v:stroke on="f" joinstyle="miter"/>
            <v:imagedata r:id="rId12" embosscolor="#FFFFFF" o:title=""/>
            <o:lock v:ext="edit" aspectratio="t"/>
            <w10:wrap type="none"/>
            <w10:anchorlock/>
          </v:shape>
        </w:pict>
      </w:r>
      <w:r>
        <w:t>Very Dissatisfied</w:t>
      </w:r>
    </w:p>
    <w:p>
      <w:pPr>
        <w:spacing w:before="0" w:after="0" w:line="240" w:lineRule="auto"/>
        <w:rPr>
          <w:b/>
          <w:bCs/>
        </w:rPr>
      </w:pPr>
      <w:r>
        <w:rPr>
          <w:b/>
          <w:bCs/>
        </w:rPr>
        <w:t>E2. Suggestions for Improvement</w:t>
      </w:r>
    </w:p>
    <w:p>
      <w:pPr>
        <w:spacing w:before="0" w:after="0" w:line="240" w:lineRule="auto"/>
      </w:pPr>
      <w:r>
        <w:t>What suggestions do you have for improving the PSSSF? (Please specify):</w:t>
      </w:r>
    </w:p>
    <w:p>
      <w:pPr>
        <w:numPr>
          <w:ilvl w:val="0"/>
          <w:numId w:val="39"/>
        </w:numPr>
        <w:spacing w:before="0" w:after="0" w:line="240" w:lineRule="auto"/>
      </w:pPr>
      <w:r>
        <w:pict>
          <v:shape id="_x0000_i1173" o:spt="75" type="#_x0000_t75" style="height:18.6pt;width:20.4pt;" filled="f" stroked="f" coordsize="21600,21600">
            <v:path/>
            <v:fill on="f" focussize="0,0"/>
            <v:stroke on="f" joinstyle="miter"/>
            <v:imagedata r:id="rId12" embosscolor="#FFFFFF" o:title=""/>
            <o:lock v:ext="edit" aspectratio="t"/>
            <w10:wrap type="none"/>
            <w10:anchorlock/>
          </v:shape>
        </w:pict>
      </w:r>
      <w:r>
        <w:t>_____________________________</w:t>
      </w:r>
    </w:p>
    <w:p>
      <w:pPr>
        <w:sectPr>
          <w:pgSz w:w="12240" w:h="15840"/>
          <w:pgMar w:top="1440" w:right="1800" w:bottom="1440" w:left="1800" w:header="720" w:footer="720" w:gutter="0"/>
          <w:cols w:space="720" w:num="1"/>
          <w:docGrid w:linePitch="360" w:charSpace="0"/>
        </w:sectPr>
      </w:pPr>
    </w:p>
    <w:p>
      <w:pPr>
        <w:pStyle w:val="7"/>
        <w:bidi w:val="0"/>
      </w:pPr>
      <w:bookmarkStart w:id="192" w:name="_Toc15258"/>
      <w:bookmarkStart w:id="193" w:name="_Toc21794"/>
      <w:r>
        <w:t>Appendix II:  Interview Guide with Key Informants</w:t>
      </w:r>
      <w:bookmarkEnd w:id="192"/>
      <w:bookmarkEnd w:id="193"/>
    </w:p>
    <w:p>
      <w:pPr>
        <w:rPr>
          <w:b/>
          <w:bCs/>
        </w:rPr>
      </w:pPr>
      <w:r>
        <w:rPr>
          <w:b/>
          <w:bCs/>
        </w:rPr>
        <w:t>Objective 1: Investigating Perceptions of Public Servants Regarding Welfare Benefits Provided by the PSSSF After the Mergers and Acquisitions</w:t>
      </w:r>
    </w:p>
    <w:p>
      <w:pPr>
        <w:numPr>
          <w:ilvl w:val="0"/>
          <w:numId w:val="40"/>
        </w:numPr>
      </w:pPr>
      <w:r>
        <w:rPr>
          <w:b/>
          <w:bCs/>
        </w:rPr>
        <w:t>Introduction to Welfare Benefits Post-Merger</w:t>
      </w:r>
    </w:p>
    <w:p>
      <w:pPr>
        <w:numPr>
          <w:ilvl w:val="1"/>
          <w:numId w:val="40"/>
        </w:numPr>
      </w:pPr>
      <w:r>
        <w:t>Could you describe the key changes in the welfare benefits provided by the PSSSF since the merger and acquisitions?</w:t>
      </w:r>
    </w:p>
    <w:p>
      <w:pPr>
        <w:numPr>
          <w:ilvl w:val="1"/>
          <w:numId w:val="40"/>
        </w:numPr>
      </w:pPr>
      <w:r>
        <w:t>In your view, how have these changes affected public servants' satisfaction with the benefits they receive?</w:t>
      </w:r>
    </w:p>
    <w:p>
      <w:pPr>
        <w:numPr>
          <w:ilvl w:val="0"/>
          <w:numId w:val="40"/>
        </w:numPr>
      </w:pPr>
      <w:r>
        <w:rPr>
          <w:b/>
          <w:bCs/>
        </w:rPr>
        <w:t>Effectiveness of Welfare Programs</w:t>
      </w:r>
    </w:p>
    <w:p>
      <w:pPr>
        <w:numPr>
          <w:ilvl w:val="1"/>
          <w:numId w:val="40"/>
        </w:numPr>
      </w:pPr>
      <w:r>
        <w:t>How do you assess the overall quality of welfare benefits (such as retirement, health, disability, and survivor benefits) provided post-merger?</w:t>
      </w:r>
    </w:p>
    <w:p>
      <w:pPr>
        <w:numPr>
          <w:ilvl w:val="1"/>
          <w:numId w:val="40"/>
        </w:numPr>
      </w:pPr>
      <w:r>
        <w:t>Are there any specific benefits that have been more or less effective after the merger? Please elaborate.</w:t>
      </w:r>
    </w:p>
    <w:p>
      <w:pPr>
        <w:numPr>
          <w:ilvl w:val="0"/>
          <w:numId w:val="40"/>
        </w:numPr>
      </w:pPr>
      <w:r>
        <w:rPr>
          <w:b/>
          <w:bCs/>
        </w:rPr>
        <w:t>Improvement or Decline in Welfare Services</w:t>
      </w:r>
    </w:p>
    <w:p>
      <w:pPr>
        <w:numPr>
          <w:ilvl w:val="1"/>
          <w:numId w:val="40"/>
        </w:numPr>
      </w:pPr>
      <w:r>
        <w:t>From your perspective, do you think the merger has led to improvements in the welfare benefits offered by PSSSF, or has it had a negative impact? Why?</w:t>
      </w:r>
    </w:p>
    <w:p>
      <w:pPr>
        <w:numPr>
          <w:ilvl w:val="1"/>
          <w:numId w:val="40"/>
        </w:numPr>
      </w:pPr>
      <w:r>
        <w:t>Are there any challenges faced by public servants in accessing or benefiting from these services?</w:t>
      </w:r>
    </w:p>
    <w:p>
      <w:pPr>
        <w:numPr>
          <w:ilvl w:val="0"/>
          <w:numId w:val="40"/>
        </w:numPr>
      </w:pPr>
      <w:r>
        <w:rPr>
          <w:b/>
          <w:bCs/>
        </w:rPr>
        <w:t>Beneficiary Feedback</w:t>
      </w:r>
    </w:p>
    <w:p>
      <w:pPr>
        <w:numPr>
          <w:ilvl w:val="1"/>
          <w:numId w:val="40"/>
        </w:numPr>
      </w:pPr>
      <w:r>
        <w:t>What have been the key concerns or feedback from public servants regarding the welfare benefits since the merger?</w:t>
      </w:r>
    </w:p>
    <w:p>
      <w:pPr>
        <w:numPr>
          <w:ilvl w:val="1"/>
          <w:numId w:val="40"/>
        </w:numPr>
      </w:pPr>
      <w:r>
        <w:t>How does the PSSSF manage to address these concerns, if at all?</w:t>
      </w:r>
    </w:p>
    <w:p>
      <w:pPr>
        <w:rPr>
          <w:b/>
          <w:bCs/>
        </w:rPr>
      </w:pPr>
    </w:p>
    <w:p>
      <w:pPr>
        <w:rPr>
          <w:b/>
          <w:bCs/>
        </w:rPr>
      </w:pPr>
      <w:r>
        <w:rPr>
          <w:b/>
          <w:bCs/>
        </w:rPr>
        <w:t>Objective 2: Assessing the Changes in Service Delivery and Administrative Efficiency of the PSSSF Following the Mergers and Acquisitions</w:t>
      </w:r>
    </w:p>
    <w:p>
      <w:pPr>
        <w:numPr>
          <w:ilvl w:val="0"/>
          <w:numId w:val="41"/>
        </w:numPr>
      </w:pPr>
      <w:r>
        <w:rPr>
          <w:b/>
          <w:bCs/>
        </w:rPr>
        <w:t>Changes in Service Delivery Post-Merger</w:t>
      </w:r>
    </w:p>
    <w:p>
      <w:pPr>
        <w:numPr>
          <w:ilvl w:val="1"/>
          <w:numId w:val="41"/>
        </w:numPr>
      </w:pPr>
      <w:r>
        <w:t>How would you describe the changes in service delivery at PSSSF after the mergers? Are services being delivered more efficiently or effectively?</w:t>
      </w:r>
    </w:p>
    <w:p>
      <w:pPr>
        <w:numPr>
          <w:ilvl w:val="1"/>
          <w:numId w:val="41"/>
        </w:numPr>
      </w:pPr>
      <w:r>
        <w:t>Have there been improvements in the speed, accessibility, and quality of services provided to public servants?</w:t>
      </w:r>
    </w:p>
    <w:p>
      <w:pPr>
        <w:numPr>
          <w:ilvl w:val="0"/>
          <w:numId w:val="41"/>
        </w:numPr>
      </w:pPr>
      <w:r>
        <w:rPr>
          <w:b/>
          <w:bCs/>
        </w:rPr>
        <w:t>Service Delivery Challenges</w:t>
      </w:r>
    </w:p>
    <w:p>
      <w:pPr>
        <w:numPr>
          <w:ilvl w:val="1"/>
          <w:numId w:val="41"/>
        </w:numPr>
      </w:pPr>
      <w:r>
        <w:t>What have been the primary challenges in service delivery since the merger? Have any inefficiencies or delays been observed, and if so, in what areas?</w:t>
      </w:r>
    </w:p>
    <w:p>
      <w:pPr>
        <w:numPr>
          <w:ilvl w:val="1"/>
          <w:numId w:val="41"/>
        </w:numPr>
      </w:pPr>
      <w:r>
        <w:t>How have these challenges impacted public servants?</w:t>
      </w:r>
    </w:p>
    <w:p>
      <w:pPr>
        <w:numPr>
          <w:ilvl w:val="0"/>
          <w:numId w:val="41"/>
        </w:numPr>
      </w:pPr>
      <w:r>
        <w:rPr>
          <w:b/>
          <w:bCs/>
        </w:rPr>
        <w:t>Administrative Efficiency Post-Merger</w:t>
      </w:r>
    </w:p>
    <w:p>
      <w:pPr>
        <w:numPr>
          <w:ilvl w:val="1"/>
          <w:numId w:val="41"/>
        </w:numPr>
      </w:pPr>
      <w:r>
        <w:t>In your opinion, has the administrative efficiency of PSSSF improved or declined post-merger? Can you provide specific examples of changes in administrative processes?</w:t>
      </w:r>
    </w:p>
    <w:p>
      <w:pPr>
        <w:numPr>
          <w:ilvl w:val="1"/>
          <w:numId w:val="41"/>
        </w:numPr>
      </w:pPr>
      <w:r>
        <w:t>How have changes in organizational structure or staffing affected service delivery and efficiency?</w:t>
      </w:r>
    </w:p>
    <w:p>
      <w:pPr>
        <w:numPr>
          <w:ilvl w:val="0"/>
          <w:numId w:val="41"/>
        </w:numPr>
      </w:pPr>
      <w:r>
        <w:rPr>
          <w:b/>
          <w:bCs/>
        </w:rPr>
        <w:t>Technology and Digital Platforms</w:t>
      </w:r>
    </w:p>
    <w:p>
      <w:pPr>
        <w:numPr>
          <w:ilvl w:val="1"/>
          <w:numId w:val="41"/>
        </w:numPr>
      </w:pPr>
      <w:r>
        <w:t>Has there been a noticeable improvement in the use of digital platforms (e.g., online portals or mobile apps) for service delivery after the merger? How have public servants responded to these changes?</w:t>
      </w:r>
    </w:p>
    <w:p>
      <w:pPr>
        <w:numPr>
          <w:ilvl w:val="0"/>
          <w:numId w:val="41"/>
        </w:numPr>
      </w:pPr>
      <w:r>
        <w:rPr>
          <w:b/>
          <w:bCs/>
        </w:rPr>
        <w:t>Stakeholder Engagement in Service Delivery</w:t>
      </w:r>
    </w:p>
    <w:p>
      <w:pPr>
        <w:numPr>
          <w:ilvl w:val="1"/>
          <w:numId w:val="41"/>
        </w:numPr>
      </w:pPr>
      <w:r>
        <w:t>How does PSSSF engage with public servants and other stakeholders in ensuring effective service delivery? Have there been any new methods or improvements in communication post-merger?</w:t>
      </w:r>
    </w:p>
    <w:p>
      <w:pPr>
        <w:rPr>
          <w:b/>
          <w:bCs/>
        </w:rPr>
      </w:pPr>
      <w:r>
        <w:rPr>
          <w:b/>
          <w:bCs/>
        </w:rPr>
        <w:t>Objective 3: Identifying the Factors Influencing the Effectiveness of the PSSSF in Enhancing the Welfare of Public Servants Post-Merger</w:t>
      </w:r>
    </w:p>
    <w:p>
      <w:pPr>
        <w:numPr>
          <w:ilvl w:val="0"/>
          <w:numId w:val="42"/>
        </w:numPr>
      </w:pPr>
      <w:r>
        <w:rPr>
          <w:b/>
          <w:bCs/>
        </w:rPr>
        <w:t>Key Factors Influencing Effectiveness</w:t>
      </w:r>
    </w:p>
    <w:p>
      <w:pPr>
        <w:numPr>
          <w:ilvl w:val="1"/>
          <w:numId w:val="42"/>
        </w:numPr>
      </w:pPr>
      <w:r>
        <w:t>What do you believe are the key factors that have contributed to or hindered the effectiveness of PSSSF in enhancing public servants' welfare after the merger?</w:t>
      </w:r>
    </w:p>
    <w:p>
      <w:pPr>
        <w:numPr>
          <w:ilvl w:val="1"/>
          <w:numId w:val="42"/>
        </w:numPr>
      </w:pPr>
      <w:r>
        <w:t>How important are governance, financial management, and stakeholder engagement in improving PSSSF’s effectiveness?</w:t>
      </w:r>
    </w:p>
    <w:p>
      <w:pPr>
        <w:numPr>
          <w:ilvl w:val="0"/>
          <w:numId w:val="42"/>
        </w:numPr>
      </w:pPr>
      <w:r>
        <w:rPr>
          <w:b/>
          <w:bCs/>
        </w:rPr>
        <w:t>Leadership and Governance</w:t>
      </w:r>
    </w:p>
    <w:p>
      <w:pPr>
        <w:numPr>
          <w:ilvl w:val="1"/>
          <w:numId w:val="42"/>
        </w:numPr>
      </w:pPr>
      <w:r>
        <w:t>How would you assess the role of leadership in driving the effectiveness of PSSSF? Has leadership within PSSSF changed after the merger, and if so, how has this impacted public servants' welfare?</w:t>
      </w:r>
    </w:p>
    <w:p>
      <w:pPr>
        <w:numPr>
          <w:ilvl w:val="0"/>
          <w:numId w:val="42"/>
        </w:numPr>
      </w:pPr>
      <w:r>
        <w:rPr>
          <w:b/>
          <w:bCs/>
        </w:rPr>
        <w:t>Resource Allocation</w:t>
      </w:r>
    </w:p>
    <w:p>
      <w:pPr>
        <w:numPr>
          <w:ilvl w:val="1"/>
          <w:numId w:val="42"/>
        </w:numPr>
      </w:pPr>
      <w:r>
        <w:t>How do you evaluate the adequacy of resources (e.g., funds, personnel, technology) allocated to PSSSF to enhance welfare services post-merger?</w:t>
      </w:r>
    </w:p>
    <w:p>
      <w:pPr>
        <w:numPr>
          <w:ilvl w:val="1"/>
          <w:numId w:val="42"/>
        </w:numPr>
      </w:pPr>
      <w:r>
        <w:t>Do you think the allocation of these resources has been optimal for improving service delivery and welfare benefits?</w:t>
      </w:r>
    </w:p>
    <w:p>
      <w:pPr>
        <w:numPr>
          <w:ilvl w:val="0"/>
          <w:numId w:val="42"/>
        </w:numPr>
      </w:pPr>
      <w:r>
        <w:rPr>
          <w:b/>
          <w:bCs/>
        </w:rPr>
        <w:t>Communication and Stakeholder Engagement</w:t>
      </w:r>
    </w:p>
    <w:p>
      <w:pPr>
        <w:numPr>
          <w:ilvl w:val="1"/>
          <w:numId w:val="42"/>
        </w:numPr>
      </w:pPr>
      <w:r>
        <w:t>How effective have PSSSF’s communication strategies been in addressing the needs of public servants after the merger?</w:t>
      </w:r>
    </w:p>
    <w:p>
      <w:pPr>
        <w:numPr>
          <w:ilvl w:val="1"/>
          <w:numId w:val="42"/>
        </w:numPr>
      </w:pPr>
      <w:r>
        <w:t>How does PSSSF ensure the involvement of public servants and other stakeholders in decision-making processes, and how has this improved or hindered welfare services?</w:t>
      </w:r>
    </w:p>
    <w:p>
      <w:pPr>
        <w:numPr>
          <w:ilvl w:val="0"/>
          <w:numId w:val="0"/>
        </w:numPr>
        <w:spacing w:before="120" w:after="160" w:line="360" w:lineRule="auto"/>
        <w:jc w:val="both"/>
      </w:pPr>
    </w:p>
    <w:p>
      <w:pPr>
        <w:numPr>
          <w:ilvl w:val="0"/>
          <w:numId w:val="0"/>
        </w:numPr>
        <w:spacing w:before="120" w:after="160" w:line="360" w:lineRule="auto"/>
        <w:jc w:val="both"/>
      </w:pPr>
    </w:p>
    <w:p>
      <w:pPr>
        <w:numPr>
          <w:ilvl w:val="0"/>
          <w:numId w:val="0"/>
        </w:numPr>
        <w:spacing w:before="120" w:after="160" w:line="360" w:lineRule="auto"/>
        <w:jc w:val="both"/>
      </w:pPr>
    </w:p>
    <w:p>
      <w:pPr>
        <w:numPr>
          <w:ilvl w:val="0"/>
          <w:numId w:val="42"/>
        </w:numPr>
      </w:pPr>
      <w:r>
        <w:rPr>
          <w:b/>
          <w:bCs/>
        </w:rPr>
        <w:t>Impact of External Factors</w:t>
      </w:r>
    </w:p>
    <w:p>
      <w:pPr>
        <w:numPr>
          <w:ilvl w:val="1"/>
          <w:numId w:val="42"/>
        </w:numPr>
      </w:pPr>
      <w:r>
        <w:t>Are there any external factors (e.g., government policies, economic conditions, or public perception) that have influenced the effectiveness of the PSSSF post-merger?</w:t>
      </w:r>
    </w:p>
    <w:p>
      <w:pPr>
        <w:numPr>
          <w:ilvl w:val="1"/>
          <w:numId w:val="42"/>
        </w:numPr>
      </w:pPr>
      <w:r>
        <w:t>How does PSSSF adapt to these external challenges while ensuring the welfare of public servants?</w:t>
      </w:r>
    </w:p>
    <w:p>
      <w:pPr>
        <w:numPr>
          <w:ilvl w:val="0"/>
          <w:numId w:val="42"/>
        </w:numPr>
      </w:pPr>
      <w:r>
        <w:rPr>
          <w:b/>
          <w:bCs/>
        </w:rPr>
        <w:t>Overall Assessment of Effectiveness</w:t>
      </w:r>
    </w:p>
    <w:p>
      <w:pPr>
        <w:numPr>
          <w:ilvl w:val="1"/>
          <w:numId w:val="42"/>
        </w:numPr>
      </w:pPr>
      <w:r>
        <w:t>How would you rate the overall effectiveness of PSSSF in improving the welfare of public servants post-merger, and what are the most critical areas that need further improvement?</w:t>
      </w:r>
    </w:p>
    <w:p>
      <w:r>
        <w:pict>
          <v:rect id="_x0000_i1174" o:spt="1" style="height:1.5pt;width:0pt;" fillcolor="#A0A0A0" filled="t" stroked="f" coordsize="21600,21600" o:hr="t" o:hrstd="t" o:hralign="center">
            <v:path/>
            <v:fill on="t" focussize="0,0"/>
            <v:stroke on="f"/>
            <v:imagedata o:title=""/>
            <o:lock v:ext="edit"/>
            <w10:wrap type="none"/>
            <w10:anchorlock/>
          </v:rect>
        </w:pict>
      </w:r>
    </w:p>
    <w:p>
      <w:pPr>
        <w:rPr>
          <w:b/>
          <w:bCs/>
        </w:rPr>
      </w:pPr>
      <w:r>
        <w:rPr>
          <w:b/>
          <w:bCs/>
        </w:rPr>
        <w:t>Conclusion</w:t>
      </w:r>
    </w:p>
    <w:p>
      <w:pPr>
        <w:numPr>
          <w:ilvl w:val="0"/>
          <w:numId w:val="43"/>
        </w:numPr>
      </w:pPr>
      <w:r>
        <w:t>Is there anything else you would like to add about the overall impact of the PSSSF merger on the welfare of public servants?</w:t>
      </w:r>
    </w:p>
    <w:p>
      <w:pPr>
        <w:numPr>
          <w:ilvl w:val="0"/>
          <w:numId w:val="43"/>
        </w:numPr>
      </w:pPr>
      <w:r>
        <w:t>Do you have any recommendations for improving the effectiveness of the PSSSF going forward?</w:t>
      </w:r>
    </w:p>
    <w:p/>
    <w:p/>
    <w:p/>
    <w:p/>
    <w:p/>
    <w:p/>
    <w:p/>
    <w:p/>
    <w:p/>
    <w:p>
      <w:pPr>
        <w:pStyle w:val="7"/>
        <w:bidi w:val="0"/>
        <w:rPr>
          <w:rFonts w:hint="default"/>
          <w:lang w:eastAsia="en-GB"/>
        </w:rPr>
      </w:pPr>
      <w:bookmarkStart w:id="194" w:name="_Toc149292313"/>
      <w:bookmarkStart w:id="195" w:name="_Toc159364003"/>
      <w:bookmarkStart w:id="196" w:name="_Toc162597077"/>
      <w:bookmarkStart w:id="197" w:name="_Toc5734"/>
      <w:bookmarkStart w:id="198" w:name="_Toc24775"/>
      <w:bookmarkStart w:id="199" w:name="_Toc32749"/>
      <w:bookmarkStart w:id="200" w:name="_Toc178042409"/>
      <w:r>
        <w:rPr>
          <w:rFonts w:hint="default"/>
          <w:lang w:eastAsia="en-GB"/>
        </w:rPr>
        <w:t>Appendix I</w:t>
      </w:r>
      <w:r>
        <w:rPr>
          <w:rFonts w:hint="default"/>
          <w:lang w:val="en-US" w:eastAsia="en-GB"/>
        </w:rPr>
        <w:t>I</w:t>
      </w:r>
      <w:r>
        <w:rPr>
          <w:rFonts w:hint="default"/>
          <w:lang w:eastAsia="en-GB"/>
        </w:rPr>
        <w:t xml:space="preserve">I: </w:t>
      </w:r>
      <w:bookmarkEnd w:id="194"/>
      <w:bookmarkEnd w:id="195"/>
      <w:r>
        <w:rPr>
          <w:rFonts w:hint="default"/>
          <w:lang w:eastAsia="en-GB"/>
        </w:rPr>
        <w:t>Budget for the project</w:t>
      </w:r>
      <w:bookmarkEnd w:id="196"/>
      <w:bookmarkEnd w:id="197"/>
      <w:bookmarkEnd w:id="198"/>
      <w:bookmarkEnd w:id="199"/>
      <w:bookmarkEnd w:id="200"/>
    </w:p>
    <w:tbl>
      <w:tblPr>
        <w:tblStyle w:val="21"/>
        <w:tblW w:w="83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2"/>
        <w:gridCol w:w="2779"/>
        <w:gridCol w:w="1951"/>
        <w:gridCol w:w="24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1122"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b/>
                <w:color w:val="000000"/>
                <w:sz w:val="20"/>
                <w:szCs w:val="20"/>
              </w:rPr>
            </w:pPr>
            <w:r>
              <w:rPr>
                <w:rFonts w:hint="eastAsia" w:ascii="Times New Roman" w:hAnsi="Times New Roman" w:cs="Times New Roman"/>
                <w:b/>
                <w:color w:val="000000"/>
                <w:sz w:val="20"/>
                <w:szCs w:val="20"/>
              </w:rPr>
              <w:t>S/N</w:t>
            </w:r>
          </w:p>
        </w:tc>
        <w:tc>
          <w:tcPr>
            <w:tcW w:w="2779"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b/>
                <w:color w:val="000000"/>
                <w:sz w:val="20"/>
                <w:szCs w:val="20"/>
              </w:rPr>
            </w:pPr>
            <w:r>
              <w:rPr>
                <w:rFonts w:hint="eastAsia" w:ascii="Times New Roman" w:hAnsi="Times New Roman" w:cs="Times New Roman"/>
                <w:b/>
                <w:color w:val="000000"/>
                <w:sz w:val="20"/>
                <w:szCs w:val="20"/>
              </w:rPr>
              <w:t>Study Activities</w:t>
            </w:r>
          </w:p>
        </w:tc>
        <w:tc>
          <w:tcPr>
            <w:tcW w:w="1951"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b/>
                <w:color w:val="000000"/>
                <w:sz w:val="20"/>
                <w:szCs w:val="20"/>
              </w:rPr>
            </w:pPr>
            <w:r>
              <w:rPr>
                <w:rFonts w:hint="eastAsia" w:ascii="Times New Roman" w:hAnsi="Times New Roman" w:cs="Times New Roman"/>
                <w:b/>
                <w:color w:val="000000"/>
                <w:sz w:val="20"/>
                <w:szCs w:val="20"/>
              </w:rPr>
              <w:t>Details</w:t>
            </w:r>
          </w:p>
        </w:tc>
        <w:tc>
          <w:tcPr>
            <w:tcW w:w="2482"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b/>
                <w:color w:val="000000"/>
                <w:sz w:val="20"/>
                <w:szCs w:val="20"/>
              </w:rPr>
            </w:pPr>
            <w:r>
              <w:rPr>
                <w:rFonts w:hint="eastAsia" w:ascii="Times New Roman" w:hAnsi="Times New Roman" w:cs="Times New Roman"/>
                <w:b/>
                <w:color w:val="000000"/>
                <w:sz w:val="20"/>
                <w:szCs w:val="20"/>
              </w:rPr>
              <w:t>Cost Estimation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7" w:hRule="atLeast"/>
        </w:trPr>
        <w:tc>
          <w:tcPr>
            <w:tcW w:w="1122" w:type="dxa"/>
            <w:vAlign w:val="center"/>
          </w:tcPr>
          <w:p>
            <w:pPr>
              <w:keepNext w:val="0"/>
              <w:keepLines w:val="0"/>
              <w:widowControl/>
              <w:numPr>
                <w:ilvl w:val="0"/>
                <w:numId w:val="34"/>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779"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Proposal development typing and printing</w:t>
            </w:r>
          </w:p>
        </w:tc>
        <w:tc>
          <w:tcPr>
            <w:tcW w:w="1951"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Typing and printing</w:t>
            </w:r>
          </w:p>
        </w:tc>
        <w:tc>
          <w:tcPr>
            <w:tcW w:w="2482"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100,000/=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trPr>
        <w:tc>
          <w:tcPr>
            <w:tcW w:w="1122" w:type="dxa"/>
            <w:vAlign w:val="center"/>
          </w:tcPr>
          <w:p>
            <w:pPr>
              <w:keepNext w:val="0"/>
              <w:keepLines w:val="0"/>
              <w:widowControl/>
              <w:numPr>
                <w:ilvl w:val="0"/>
                <w:numId w:val="34"/>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779"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Photocopying</w:t>
            </w:r>
          </w:p>
        </w:tc>
        <w:tc>
          <w:tcPr>
            <w:tcW w:w="1951"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Photocopying</w:t>
            </w:r>
          </w:p>
        </w:tc>
        <w:tc>
          <w:tcPr>
            <w:tcW w:w="2482"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50,000/=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2" w:hRule="atLeast"/>
        </w:trPr>
        <w:tc>
          <w:tcPr>
            <w:tcW w:w="1122" w:type="dxa"/>
            <w:vAlign w:val="center"/>
          </w:tcPr>
          <w:p>
            <w:pPr>
              <w:keepNext w:val="0"/>
              <w:keepLines w:val="0"/>
              <w:widowControl/>
              <w:numPr>
                <w:ilvl w:val="0"/>
                <w:numId w:val="34"/>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779"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Questionnaire preparation</w:t>
            </w:r>
          </w:p>
        </w:tc>
        <w:tc>
          <w:tcPr>
            <w:tcW w:w="1951"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Printing and writing questions</w:t>
            </w:r>
          </w:p>
        </w:tc>
        <w:tc>
          <w:tcPr>
            <w:tcW w:w="2482"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20,000/=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trPr>
        <w:tc>
          <w:tcPr>
            <w:tcW w:w="1122" w:type="dxa"/>
            <w:vAlign w:val="center"/>
          </w:tcPr>
          <w:p>
            <w:pPr>
              <w:keepNext w:val="0"/>
              <w:keepLines w:val="0"/>
              <w:widowControl/>
              <w:numPr>
                <w:ilvl w:val="0"/>
                <w:numId w:val="34"/>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779"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Transport</w:t>
            </w:r>
          </w:p>
        </w:tc>
        <w:tc>
          <w:tcPr>
            <w:tcW w:w="1951"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Transport</w:t>
            </w:r>
          </w:p>
        </w:tc>
        <w:tc>
          <w:tcPr>
            <w:tcW w:w="2482"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50,000/=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7" w:hRule="atLeast"/>
        </w:trPr>
        <w:tc>
          <w:tcPr>
            <w:tcW w:w="1122" w:type="dxa"/>
            <w:vAlign w:val="center"/>
          </w:tcPr>
          <w:p>
            <w:pPr>
              <w:keepNext w:val="0"/>
              <w:keepLines w:val="0"/>
              <w:widowControl/>
              <w:numPr>
                <w:ilvl w:val="0"/>
                <w:numId w:val="34"/>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779"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Other stationery</w:t>
            </w:r>
          </w:p>
        </w:tc>
        <w:tc>
          <w:tcPr>
            <w:tcW w:w="1951"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Pen, rural, pencil, flash</w:t>
            </w:r>
          </w:p>
        </w:tc>
        <w:tc>
          <w:tcPr>
            <w:tcW w:w="2482"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10,000/=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2" w:hRule="atLeast"/>
        </w:trPr>
        <w:tc>
          <w:tcPr>
            <w:tcW w:w="1122" w:type="dxa"/>
            <w:vAlign w:val="center"/>
          </w:tcPr>
          <w:p>
            <w:pPr>
              <w:keepNext w:val="0"/>
              <w:keepLines w:val="0"/>
              <w:widowControl/>
              <w:numPr>
                <w:ilvl w:val="0"/>
                <w:numId w:val="34"/>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779"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2paper ream</w:t>
            </w:r>
          </w:p>
        </w:tc>
        <w:tc>
          <w:tcPr>
            <w:tcW w:w="1951"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2 ream paper@25,000</w:t>
            </w:r>
          </w:p>
        </w:tc>
        <w:tc>
          <w:tcPr>
            <w:tcW w:w="2482"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50,000/=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7" w:hRule="atLeast"/>
        </w:trPr>
        <w:tc>
          <w:tcPr>
            <w:tcW w:w="1122" w:type="dxa"/>
            <w:vAlign w:val="center"/>
          </w:tcPr>
          <w:p>
            <w:pPr>
              <w:keepNext w:val="0"/>
              <w:keepLines w:val="0"/>
              <w:widowControl/>
              <w:numPr>
                <w:ilvl w:val="0"/>
                <w:numId w:val="34"/>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779"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Internet services</w:t>
            </w:r>
          </w:p>
        </w:tc>
        <w:tc>
          <w:tcPr>
            <w:tcW w:w="1951"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Emails, sharing questionnaires</w:t>
            </w:r>
          </w:p>
        </w:tc>
        <w:tc>
          <w:tcPr>
            <w:tcW w:w="2482"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10,000/=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trPr>
        <w:tc>
          <w:tcPr>
            <w:tcW w:w="1122" w:type="dxa"/>
            <w:vAlign w:val="center"/>
          </w:tcPr>
          <w:p>
            <w:pPr>
              <w:keepNext w:val="0"/>
              <w:keepLines w:val="0"/>
              <w:widowControl/>
              <w:numPr>
                <w:ilvl w:val="0"/>
                <w:numId w:val="34"/>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779"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Hard copy binding</w:t>
            </w:r>
          </w:p>
        </w:tc>
        <w:tc>
          <w:tcPr>
            <w:tcW w:w="1951"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Printing and binding</w:t>
            </w:r>
          </w:p>
        </w:tc>
        <w:tc>
          <w:tcPr>
            <w:tcW w:w="2482"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100,000/=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2" w:hRule="atLeast"/>
        </w:trPr>
        <w:tc>
          <w:tcPr>
            <w:tcW w:w="1122" w:type="dxa"/>
            <w:vAlign w:val="center"/>
          </w:tcPr>
          <w:p>
            <w:pPr>
              <w:keepNext w:val="0"/>
              <w:keepLines w:val="0"/>
              <w:widowControl/>
              <w:numPr>
                <w:ilvl w:val="0"/>
                <w:numId w:val="34"/>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779"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 xml:space="preserve">Data analysis and grammar checking </w:t>
            </w:r>
          </w:p>
        </w:tc>
        <w:tc>
          <w:tcPr>
            <w:tcW w:w="1951"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Grammar checking and analyzing data</w:t>
            </w:r>
          </w:p>
        </w:tc>
        <w:tc>
          <w:tcPr>
            <w:tcW w:w="2482"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200,000/=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7" w:hRule="atLeast"/>
        </w:trPr>
        <w:tc>
          <w:tcPr>
            <w:tcW w:w="1122" w:type="dxa"/>
            <w:vAlign w:val="center"/>
          </w:tcPr>
          <w:p>
            <w:pPr>
              <w:keepNext w:val="0"/>
              <w:keepLines w:val="0"/>
              <w:widowControl/>
              <w:numPr>
                <w:ilvl w:val="0"/>
                <w:numId w:val="34"/>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779"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Report reports writing</w:t>
            </w:r>
          </w:p>
        </w:tc>
        <w:tc>
          <w:tcPr>
            <w:tcW w:w="1951"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writing reports and printing</w:t>
            </w:r>
          </w:p>
        </w:tc>
        <w:tc>
          <w:tcPr>
            <w:tcW w:w="2482"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250,000/=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8" w:hRule="atLeast"/>
        </w:trPr>
        <w:tc>
          <w:tcPr>
            <w:tcW w:w="1122" w:type="dxa"/>
            <w:vAlign w:val="center"/>
          </w:tcPr>
          <w:p>
            <w:pPr>
              <w:keepNext w:val="0"/>
              <w:keepLines w:val="0"/>
              <w:widowControl/>
              <w:suppressLineNumbers w:val="0"/>
              <w:spacing w:beforeAutospacing="0" w:afterAutospacing="0" w:line="240" w:lineRule="auto"/>
              <w:ind w:left="720" w:right="0"/>
              <w:contextualSpacing/>
              <w:rPr>
                <w:rFonts w:hint="eastAsia" w:ascii="Times New Roman" w:hAnsi="Times New Roman" w:cs="Times New Roman"/>
                <w:b/>
                <w:color w:val="000000"/>
                <w:sz w:val="20"/>
                <w:szCs w:val="20"/>
              </w:rPr>
            </w:pPr>
          </w:p>
        </w:tc>
        <w:tc>
          <w:tcPr>
            <w:tcW w:w="2779"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b/>
                <w:color w:val="000000"/>
                <w:sz w:val="20"/>
                <w:szCs w:val="20"/>
              </w:rPr>
            </w:pPr>
          </w:p>
        </w:tc>
        <w:tc>
          <w:tcPr>
            <w:tcW w:w="1951"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b/>
                <w:color w:val="000000"/>
                <w:sz w:val="20"/>
                <w:szCs w:val="20"/>
              </w:rPr>
            </w:pPr>
            <w:r>
              <w:rPr>
                <w:rFonts w:hint="eastAsia" w:ascii="Times New Roman" w:hAnsi="Times New Roman" w:cs="Times New Roman"/>
                <w:b/>
                <w:color w:val="000000"/>
                <w:sz w:val="20"/>
                <w:szCs w:val="20"/>
              </w:rPr>
              <w:t xml:space="preserve">Total </w:t>
            </w:r>
          </w:p>
        </w:tc>
        <w:tc>
          <w:tcPr>
            <w:tcW w:w="2482" w:type="dxa"/>
            <w:vAlign w:val="center"/>
          </w:tcPr>
          <w:p>
            <w:pPr>
              <w:keepNext w:val="0"/>
              <w:keepLines w:val="0"/>
              <w:widowControl/>
              <w:suppressLineNumbers w:val="0"/>
              <w:spacing w:beforeAutospacing="0" w:afterAutospacing="0" w:line="240" w:lineRule="auto"/>
              <w:ind w:left="0" w:right="0"/>
              <w:rPr>
                <w:rFonts w:hint="eastAsia" w:ascii="Times New Roman" w:hAnsi="Times New Roman" w:cs="Times New Roman"/>
                <w:b/>
                <w:color w:val="000000"/>
                <w:sz w:val="20"/>
                <w:szCs w:val="20"/>
              </w:rPr>
            </w:pPr>
            <w:r>
              <w:rPr>
                <w:rFonts w:hint="eastAsia" w:ascii="Times New Roman" w:hAnsi="Times New Roman" w:cs="Times New Roman"/>
                <w:b/>
                <w:color w:val="000000"/>
                <w:sz w:val="20"/>
                <w:szCs w:val="20"/>
              </w:rPr>
              <w:t>840,000/=</w:t>
            </w:r>
          </w:p>
        </w:tc>
      </w:tr>
    </w:tbl>
    <w:p>
      <w:pPr>
        <w:spacing w:line="240" w:lineRule="auto"/>
        <w:rPr>
          <w:rFonts w:ascii="Times New Roman" w:hAnsi="Times New Roman" w:cs="Times New Roman"/>
          <w:i/>
          <w:color w:val="000000"/>
          <w:sz w:val="24"/>
          <w:szCs w:val="24"/>
        </w:rPr>
      </w:pPr>
      <w:r>
        <w:rPr>
          <w:rFonts w:ascii="Times New Roman" w:hAnsi="Times New Roman" w:cs="Times New Roman"/>
          <w:b/>
          <w:i/>
          <w:color w:val="000000"/>
          <w:sz w:val="24"/>
          <w:szCs w:val="24"/>
        </w:rPr>
        <w:t>Source:</w:t>
      </w:r>
      <w:r>
        <w:rPr>
          <w:rFonts w:ascii="Times New Roman" w:hAnsi="Times New Roman" w:cs="Times New Roman"/>
          <w:i/>
          <w:color w:val="000000"/>
          <w:sz w:val="24"/>
          <w:szCs w:val="24"/>
        </w:rPr>
        <w:t xml:space="preserve"> Researcher (2024)</w:t>
      </w:r>
    </w:p>
    <w:p>
      <w:pPr>
        <w:spacing w:line="240" w:lineRule="auto"/>
        <w:rPr>
          <w:rFonts w:ascii="Times New Roman" w:hAnsi="Times New Roman" w:cs="Times New Roman"/>
          <w:i/>
          <w:color w:val="000000"/>
          <w:sz w:val="24"/>
          <w:szCs w:val="24"/>
        </w:rPr>
      </w:pPr>
    </w:p>
    <w:p>
      <w:pPr>
        <w:spacing w:line="240" w:lineRule="auto"/>
        <w:rPr>
          <w:rFonts w:ascii="Times New Roman" w:hAnsi="Times New Roman" w:cs="Times New Roman"/>
          <w:i/>
          <w:color w:val="000000"/>
          <w:sz w:val="24"/>
          <w:szCs w:val="24"/>
        </w:rPr>
      </w:pPr>
    </w:p>
    <w:p>
      <w:pPr>
        <w:spacing w:line="240" w:lineRule="auto"/>
        <w:rPr>
          <w:rFonts w:ascii="Times New Roman" w:hAnsi="Times New Roman" w:cs="Times New Roman"/>
          <w:i/>
          <w:color w:val="000000"/>
          <w:sz w:val="24"/>
          <w:szCs w:val="24"/>
        </w:rPr>
      </w:pPr>
    </w:p>
    <w:p>
      <w:pPr>
        <w:spacing w:line="240" w:lineRule="auto"/>
        <w:rPr>
          <w:rFonts w:ascii="Times New Roman" w:hAnsi="Times New Roman" w:cs="Times New Roman"/>
          <w:i/>
          <w:color w:val="000000"/>
          <w:sz w:val="24"/>
          <w:szCs w:val="24"/>
        </w:rPr>
      </w:pPr>
    </w:p>
    <w:p>
      <w:pPr>
        <w:pStyle w:val="7"/>
        <w:bidi w:val="0"/>
        <w:spacing w:line="360" w:lineRule="auto"/>
        <w:rPr>
          <w:rFonts w:hint="default"/>
          <w:lang w:eastAsia="en-GB"/>
        </w:rPr>
      </w:pPr>
      <w:bookmarkStart w:id="201" w:name="_Toc4139"/>
      <w:bookmarkStart w:id="202" w:name="_Toc178042410"/>
      <w:bookmarkStart w:id="203" w:name="_Toc162597078"/>
      <w:bookmarkStart w:id="204" w:name="_Toc28133"/>
      <w:bookmarkStart w:id="205" w:name="_Toc26964"/>
      <w:r>
        <w:rPr>
          <w:rFonts w:hint="default"/>
          <w:lang w:eastAsia="en-GB"/>
        </w:rPr>
        <w:t xml:space="preserve">APPENDIX III: Schedule </w:t>
      </w:r>
      <w:r>
        <w:rPr>
          <w:rFonts w:hint="default"/>
          <w:lang w:val="en-US" w:eastAsia="en-GB"/>
        </w:rPr>
        <w:t>o</w:t>
      </w:r>
      <w:r>
        <w:rPr>
          <w:rFonts w:hint="default"/>
          <w:lang w:eastAsia="en-GB"/>
        </w:rPr>
        <w:t>f Activities</w:t>
      </w:r>
      <w:bookmarkEnd w:id="201"/>
      <w:bookmarkEnd w:id="202"/>
      <w:bookmarkEnd w:id="203"/>
      <w:bookmarkEnd w:id="204"/>
      <w:bookmarkEnd w:id="205"/>
    </w:p>
    <w:tbl>
      <w:tblPr>
        <w:tblStyle w:val="48"/>
        <w:tblpPr w:leftFromText="180" w:rightFromText="180" w:vertAnchor="text" w:horzAnchor="margin" w:tblpXSpec="center" w:tblpY="207"/>
        <w:tblW w:w="1016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5"/>
        <w:gridCol w:w="2610"/>
        <w:gridCol w:w="1260"/>
        <w:gridCol w:w="1260"/>
        <w:gridCol w:w="1350"/>
        <w:gridCol w:w="1440"/>
        <w:gridCol w:w="15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keepNext w:val="0"/>
              <w:keepLines w:val="0"/>
              <w:widowControl/>
              <w:suppressLineNumbers w:val="0"/>
              <w:spacing w:beforeAutospacing="0" w:after="0" w:afterAutospacing="0" w:line="360" w:lineRule="auto"/>
              <w:ind w:left="0" w:right="0"/>
              <w:rPr>
                <w:rFonts w:hint="eastAsia" w:ascii="Times New Roman" w:hAnsi="Times New Roman" w:cs="Times New Roman"/>
                <w:b/>
                <w:color w:val="000000"/>
                <w:sz w:val="24"/>
                <w:szCs w:val="24"/>
              </w:rPr>
            </w:pPr>
            <w:bookmarkStart w:id="206" w:name="_Toc159364004"/>
            <w:bookmarkStart w:id="207" w:name="_Toc149292314"/>
            <w:r>
              <w:rPr>
                <w:rFonts w:hint="eastAsia" w:ascii="Times New Roman" w:hAnsi="Times New Roman" w:cs="Times New Roman"/>
                <w:b/>
                <w:color w:val="000000"/>
                <w:sz w:val="24"/>
                <w:szCs w:val="24"/>
              </w:rPr>
              <w:t>S/N</w:t>
            </w:r>
          </w:p>
        </w:tc>
        <w:tc>
          <w:tcPr>
            <w:tcW w:w="2610" w:type="dxa"/>
          </w:tcPr>
          <w:p>
            <w:pPr>
              <w:keepNext w:val="0"/>
              <w:keepLines w:val="0"/>
              <w:widowControl/>
              <w:suppressLineNumbers w:val="0"/>
              <w:spacing w:beforeAutospacing="0" w:after="0" w:afterAutospacing="0" w:line="360" w:lineRule="auto"/>
              <w:ind w:left="0" w:right="0"/>
              <w:jc w:val="center"/>
              <w:rPr>
                <w:rFonts w:hint="eastAsia" w:ascii="Times New Roman" w:hAnsi="Times New Roman" w:cs="Times New Roman"/>
                <w:b/>
                <w:color w:val="000000"/>
                <w:sz w:val="24"/>
                <w:szCs w:val="24"/>
              </w:rPr>
            </w:pPr>
            <w:r>
              <w:rPr>
                <w:rFonts w:hint="eastAsia" w:ascii="Times New Roman" w:hAnsi="Times New Roman" w:cs="Times New Roman"/>
                <w:b/>
                <w:color w:val="000000"/>
                <w:sz w:val="24"/>
                <w:szCs w:val="24"/>
              </w:rPr>
              <w:t>Task</w:t>
            </w:r>
          </w:p>
        </w:tc>
        <w:tc>
          <w:tcPr>
            <w:tcW w:w="6840" w:type="dxa"/>
            <w:gridSpan w:val="5"/>
          </w:tcPr>
          <w:p>
            <w:pPr>
              <w:keepNext w:val="0"/>
              <w:keepLines w:val="0"/>
              <w:widowControl/>
              <w:suppressLineNumbers w:val="0"/>
              <w:spacing w:beforeAutospacing="0" w:after="0" w:afterAutospacing="0" w:line="360" w:lineRule="auto"/>
              <w:ind w:left="0" w:right="0"/>
              <w:jc w:val="center"/>
              <w:rPr>
                <w:rFonts w:hint="eastAsia" w:ascii="Times New Roman" w:hAnsi="Times New Roman" w:cs="Times New Roman"/>
                <w:b/>
                <w:color w:val="000000"/>
                <w:sz w:val="24"/>
                <w:szCs w:val="24"/>
              </w:rPr>
            </w:pPr>
            <w:r>
              <w:rPr>
                <w:rFonts w:hint="eastAsia" w:ascii="Times New Roman" w:hAnsi="Times New Roman" w:cs="Times New Roman"/>
                <w:b/>
                <w:color w:val="000000"/>
                <w:sz w:val="24"/>
                <w:szCs w:val="24"/>
              </w:rPr>
              <w:t>Time Line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keepNext w:val="0"/>
              <w:keepLines w:val="0"/>
              <w:widowControl/>
              <w:numPr>
                <w:ilvl w:val="0"/>
                <w:numId w:val="42"/>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61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Submission of the Research Title</w:t>
            </w: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15</w:t>
            </w:r>
            <w:r>
              <w:rPr>
                <w:rFonts w:hint="eastAsia" w:ascii="Times New Roman" w:hAnsi="Times New Roman" w:cs="Times New Roman"/>
                <w:color w:val="000000"/>
                <w:sz w:val="20"/>
                <w:szCs w:val="20"/>
                <w:vertAlign w:val="superscript"/>
              </w:rPr>
              <w:t>th</w:t>
            </w:r>
            <w:r>
              <w:rPr>
                <w:rFonts w:hint="eastAsia" w:ascii="Times New Roman" w:hAnsi="Times New Roman" w:cs="Times New Roman"/>
                <w:color w:val="000000"/>
                <w:sz w:val="20"/>
                <w:szCs w:val="20"/>
              </w:rPr>
              <w:t xml:space="preserve"> July 2023</w:t>
            </w: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35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44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53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keepNext w:val="0"/>
              <w:keepLines w:val="0"/>
              <w:widowControl/>
              <w:numPr>
                <w:ilvl w:val="0"/>
                <w:numId w:val="42"/>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61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Supervisor Allocation</w:t>
            </w: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19</w:t>
            </w:r>
            <w:r>
              <w:rPr>
                <w:rFonts w:hint="eastAsia" w:ascii="Times New Roman" w:hAnsi="Times New Roman" w:cs="Times New Roman"/>
                <w:color w:val="000000"/>
                <w:sz w:val="20"/>
                <w:szCs w:val="20"/>
                <w:vertAlign w:val="superscript"/>
              </w:rPr>
              <w:t>th</w:t>
            </w:r>
            <w:r>
              <w:rPr>
                <w:rFonts w:hint="eastAsia" w:ascii="Times New Roman" w:hAnsi="Times New Roman" w:cs="Times New Roman"/>
                <w:color w:val="000000"/>
                <w:sz w:val="20"/>
                <w:szCs w:val="20"/>
              </w:rPr>
              <w:t xml:space="preserve"> -23</w:t>
            </w:r>
            <w:r>
              <w:rPr>
                <w:rFonts w:hint="eastAsia" w:ascii="Times New Roman" w:hAnsi="Times New Roman" w:cs="Times New Roman"/>
                <w:color w:val="000000"/>
                <w:sz w:val="20"/>
                <w:szCs w:val="20"/>
                <w:vertAlign w:val="superscript"/>
              </w:rPr>
              <w:t>rd</w:t>
            </w:r>
            <w:r>
              <w:rPr>
                <w:rFonts w:hint="eastAsia" w:ascii="Times New Roman" w:hAnsi="Times New Roman" w:cs="Times New Roman"/>
                <w:color w:val="000000"/>
                <w:sz w:val="20"/>
                <w:szCs w:val="20"/>
              </w:rPr>
              <w:t xml:space="preserve"> July 2023</w:t>
            </w: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35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44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53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keepNext w:val="0"/>
              <w:keepLines w:val="0"/>
              <w:widowControl/>
              <w:numPr>
                <w:ilvl w:val="0"/>
                <w:numId w:val="42"/>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61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Writing of proposal</w:t>
            </w: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August 2023</w:t>
            </w:r>
          </w:p>
        </w:tc>
        <w:tc>
          <w:tcPr>
            <w:tcW w:w="135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44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53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keepNext w:val="0"/>
              <w:keepLines w:val="0"/>
              <w:widowControl/>
              <w:numPr>
                <w:ilvl w:val="0"/>
                <w:numId w:val="42"/>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61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sz w:val="20"/>
                <w:szCs w:val="20"/>
              </w:rPr>
            </w:pPr>
            <w:r>
              <w:rPr>
                <w:rFonts w:hint="eastAsia" w:ascii="Times New Roman" w:hAnsi="Times New Roman" w:cs="Times New Roman"/>
                <w:color w:val="000000"/>
                <w:sz w:val="20"/>
                <w:szCs w:val="20"/>
              </w:rPr>
              <w:t>Submission of proposal and preview supervisor corrections</w:t>
            </w: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Sep, 2023</w:t>
            </w:r>
          </w:p>
        </w:tc>
        <w:tc>
          <w:tcPr>
            <w:tcW w:w="135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44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53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keepNext w:val="0"/>
              <w:keepLines w:val="0"/>
              <w:widowControl/>
              <w:numPr>
                <w:ilvl w:val="0"/>
                <w:numId w:val="42"/>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61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Submission of corrected proposal to supervisor</w:t>
            </w: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35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Sep, 2023</w:t>
            </w:r>
          </w:p>
        </w:tc>
        <w:tc>
          <w:tcPr>
            <w:tcW w:w="144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53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keepNext w:val="0"/>
              <w:keepLines w:val="0"/>
              <w:widowControl/>
              <w:numPr>
                <w:ilvl w:val="0"/>
                <w:numId w:val="42"/>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61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Corrections from internal supervisor</w:t>
            </w: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35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Oct, 2023</w:t>
            </w:r>
          </w:p>
        </w:tc>
        <w:tc>
          <w:tcPr>
            <w:tcW w:w="144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53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keepNext w:val="0"/>
              <w:keepLines w:val="0"/>
              <w:widowControl/>
              <w:numPr>
                <w:ilvl w:val="0"/>
                <w:numId w:val="42"/>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61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Presentation of proposal</w:t>
            </w: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35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Dec, 2023</w:t>
            </w:r>
          </w:p>
        </w:tc>
        <w:tc>
          <w:tcPr>
            <w:tcW w:w="144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53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keepNext w:val="0"/>
              <w:keepLines w:val="0"/>
              <w:widowControl/>
              <w:numPr>
                <w:ilvl w:val="0"/>
                <w:numId w:val="42"/>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61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 xml:space="preserve">Internal review of comments and suggestion and approval for data correction </w:t>
            </w: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35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44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Jan to feb, 2024</w:t>
            </w:r>
          </w:p>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53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keepNext w:val="0"/>
              <w:keepLines w:val="0"/>
              <w:widowControl/>
              <w:numPr>
                <w:ilvl w:val="0"/>
                <w:numId w:val="42"/>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61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Data collection and Analysis</w:t>
            </w: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35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44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Feb to April 2024</w:t>
            </w:r>
          </w:p>
        </w:tc>
        <w:tc>
          <w:tcPr>
            <w:tcW w:w="153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keepNext w:val="0"/>
              <w:keepLines w:val="0"/>
              <w:widowControl/>
              <w:numPr>
                <w:ilvl w:val="0"/>
                <w:numId w:val="42"/>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61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Incorporation of panel comments</w:t>
            </w: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35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44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default" w:ascii="Times New Roman" w:hAnsi="Times New Roman" w:cs="Times New Roman"/>
                <w:color w:val="000000"/>
                <w:sz w:val="20"/>
                <w:szCs w:val="20"/>
                <w:lang w:val="en-US"/>
              </w:rPr>
              <w:t>july</w:t>
            </w:r>
            <w:r>
              <w:rPr>
                <w:rFonts w:hint="eastAsia" w:ascii="Times New Roman" w:hAnsi="Times New Roman" w:cs="Times New Roman"/>
                <w:color w:val="000000"/>
                <w:sz w:val="20"/>
                <w:szCs w:val="20"/>
              </w:rPr>
              <w:t>,2024</w:t>
            </w:r>
          </w:p>
        </w:tc>
        <w:tc>
          <w:tcPr>
            <w:tcW w:w="153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5" w:type="dxa"/>
          </w:tcPr>
          <w:p>
            <w:pPr>
              <w:keepNext w:val="0"/>
              <w:keepLines w:val="0"/>
              <w:widowControl/>
              <w:numPr>
                <w:ilvl w:val="0"/>
                <w:numId w:val="42"/>
              </w:numPr>
              <w:suppressLineNumbers w:val="0"/>
              <w:spacing w:beforeAutospacing="0" w:after="0" w:afterAutospacing="0" w:line="240" w:lineRule="auto"/>
              <w:ind w:right="0"/>
              <w:contextualSpacing/>
              <w:rPr>
                <w:rFonts w:hint="eastAsia" w:ascii="Times New Roman" w:hAnsi="Times New Roman" w:cs="Times New Roman"/>
                <w:color w:val="000000"/>
                <w:sz w:val="20"/>
                <w:szCs w:val="20"/>
              </w:rPr>
            </w:pPr>
          </w:p>
        </w:tc>
        <w:tc>
          <w:tcPr>
            <w:tcW w:w="261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eastAsia" w:ascii="Times New Roman" w:hAnsi="Times New Roman" w:cs="Times New Roman"/>
                <w:color w:val="000000"/>
                <w:sz w:val="20"/>
                <w:szCs w:val="20"/>
              </w:rPr>
              <w:t>Submission of report inhard copies adhered to the TIA’s format and standards</w:t>
            </w: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26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35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44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p>
        </w:tc>
        <w:tc>
          <w:tcPr>
            <w:tcW w:w="1530" w:type="dxa"/>
          </w:tcPr>
          <w:p>
            <w:pPr>
              <w:keepNext w:val="0"/>
              <w:keepLines w:val="0"/>
              <w:widowControl/>
              <w:suppressLineNumbers w:val="0"/>
              <w:spacing w:beforeAutospacing="0" w:after="0" w:afterAutospacing="0" w:line="240" w:lineRule="auto"/>
              <w:ind w:left="0" w:right="0"/>
              <w:rPr>
                <w:rFonts w:hint="eastAsia" w:ascii="Times New Roman" w:hAnsi="Times New Roman" w:cs="Times New Roman"/>
                <w:color w:val="000000"/>
                <w:sz w:val="20"/>
                <w:szCs w:val="20"/>
              </w:rPr>
            </w:pPr>
            <w:r>
              <w:rPr>
                <w:rFonts w:hint="default" w:ascii="Times New Roman" w:hAnsi="Times New Roman" w:cs="Times New Roman"/>
                <w:color w:val="000000"/>
                <w:sz w:val="20"/>
                <w:szCs w:val="20"/>
                <w:lang w:val="en-US"/>
              </w:rPr>
              <w:t>November</w:t>
            </w:r>
            <w:r>
              <w:rPr>
                <w:rFonts w:hint="eastAsia" w:ascii="Times New Roman" w:hAnsi="Times New Roman" w:cs="Times New Roman"/>
                <w:color w:val="000000"/>
                <w:sz w:val="20"/>
                <w:szCs w:val="20"/>
              </w:rPr>
              <w:t>, 2024</w:t>
            </w:r>
          </w:p>
        </w:tc>
      </w:tr>
      <w:bookmarkEnd w:id="206"/>
      <w:bookmarkEnd w:id="207"/>
    </w:tbl>
    <w:p>
      <w:pPr>
        <w:spacing w:line="240" w:lineRule="auto"/>
        <w:rPr>
          <w:rFonts w:ascii="Times New Roman" w:hAnsi="Times New Roman" w:cs="Times New Roman"/>
          <w:sz w:val="20"/>
          <w:szCs w:val="20"/>
          <w:lang w:eastAsia="en-GB"/>
        </w:rPr>
      </w:pPr>
    </w:p>
    <w:p>
      <w:pPr>
        <w:spacing w:line="360" w:lineRule="auto"/>
        <w:jc w:val="both"/>
        <w:rPr>
          <w:rFonts w:ascii="Times New Roman" w:hAnsi="Times New Roman" w:cs="Times New Roman"/>
          <w:i/>
          <w:color w:val="000000"/>
          <w:sz w:val="24"/>
          <w:szCs w:val="24"/>
        </w:rPr>
      </w:pPr>
      <w:r>
        <w:rPr>
          <w:rFonts w:ascii="Times New Roman" w:hAnsi="Times New Roman" w:cs="Times New Roman"/>
          <w:b/>
          <w:color w:val="000000"/>
          <w:sz w:val="24"/>
          <w:szCs w:val="24"/>
        </w:rPr>
        <w:t xml:space="preserve">Source: </w:t>
      </w:r>
      <w:r>
        <w:rPr>
          <w:rFonts w:ascii="Times New Roman" w:hAnsi="Times New Roman" w:cs="Times New Roman"/>
          <w:i/>
          <w:color w:val="000000"/>
          <w:sz w:val="24"/>
          <w:szCs w:val="24"/>
        </w:rPr>
        <w:t>Researcher (2024)</w:t>
      </w:r>
    </w:p>
    <w:p>
      <w:pPr>
        <w:spacing w:line="360" w:lineRule="auto"/>
        <w:jc w:val="both"/>
        <w:rPr>
          <w:rFonts w:ascii="Times New Roman" w:hAnsi="Times New Roman" w:cs="Times New Roman"/>
          <w:i/>
          <w:color w:val="000000"/>
          <w:sz w:val="24"/>
          <w:szCs w:val="24"/>
        </w:rPr>
      </w:pPr>
    </w:p>
    <w:p>
      <w:pPr>
        <w:spacing w:line="360" w:lineRule="auto"/>
        <w:jc w:val="both"/>
        <w:rPr>
          <w:rFonts w:ascii="Times New Roman" w:hAnsi="Times New Roman" w:cs="Times New Roman"/>
          <w:i/>
          <w:color w:val="000000"/>
          <w:sz w:val="24"/>
          <w:szCs w:val="24"/>
        </w:rPr>
      </w:pPr>
    </w:p>
    <w:p>
      <w:pPr>
        <w:spacing w:line="360" w:lineRule="auto"/>
        <w:jc w:val="both"/>
        <w:rPr>
          <w:rFonts w:ascii="Times New Roman" w:hAnsi="Times New Roman" w:cs="Times New Roman"/>
          <w:i/>
          <w:color w:val="000000"/>
          <w:sz w:val="24"/>
          <w:szCs w:val="24"/>
        </w:rPr>
      </w:pPr>
    </w:p>
    <w:p>
      <w:pPr>
        <w:spacing w:line="360" w:lineRule="auto"/>
        <w:jc w:val="both"/>
        <w:rPr>
          <w:rFonts w:ascii="Times New Roman" w:hAnsi="Times New Roman" w:cs="Times New Roman"/>
          <w:i/>
          <w:color w:val="000000"/>
          <w:sz w:val="24"/>
          <w:szCs w:val="24"/>
        </w:rPr>
      </w:pPr>
    </w:p>
    <w:p>
      <w:pPr>
        <w:spacing w:line="360" w:lineRule="auto"/>
        <w:jc w:val="both"/>
        <w:rPr>
          <w:rFonts w:ascii="Times New Roman" w:hAnsi="Times New Roman" w:cs="Times New Roman"/>
          <w:i/>
          <w:color w:val="000000"/>
          <w:sz w:val="24"/>
          <w:szCs w:val="24"/>
        </w:rPr>
      </w:pPr>
    </w:p>
    <w:p>
      <w:pPr>
        <w:spacing w:line="360" w:lineRule="auto"/>
        <w:jc w:val="both"/>
        <w:rPr>
          <w:rFonts w:ascii="Times New Roman" w:hAnsi="Times New Roman" w:cs="Times New Roman"/>
          <w:i/>
          <w:color w:val="000000"/>
          <w:sz w:val="24"/>
          <w:szCs w:val="24"/>
        </w:rPr>
      </w:pPr>
    </w:p>
    <w:p>
      <w:pPr>
        <w:spacing w:line="360" w:lineRule="auto"/>
        <w:jc w:val="both"/>
        <w:rPr>
          <w:rFonts w:ascii="Times New Roman" w:hAnsi="Times New Roman" w:cs="Times New Roman"/>
          <w:i/>
          <w:color w:val="000000"/>
          <w:sz w:val="24"/>
          <w:szCs w:val="24"/>
        </w:rPr>
      </w:pPr>
    </w:p>
    <w:p>
      <w:pPr>
        <w:pStyle w:val="7"/>
        <w:bidi w:val="0"/>
        <w:rPr>
          <w:rFonts w:hint="default"/>
          <w:lang w:val="en-US"/>
        </w:rPr>
      </w:pPr>
      <w:bookmarkStart w:id="208" w:name="_Toc3301"/>
      <w:bookmarkStart w:id="209" w:name="_Toc23303"/>
      <w:bookmarkStart w:id="210" w:name="_Toc105"/>
      <w:r>
        <w:rPr>
          <w:rFonts w:hint="default"/>
          <w:lang w:val="en-US"/>
        </w:rPr>
        <w:t xml:space="preserve">Appendix 1V </w:t>
      </w:r>
      <w:r>
        <w:rPr>
          <w:rFonts w:hint="default"/>
        </w:rPr>
        <w:t>Introductory Letter for Data Collection</w:t>
      </w:r>
      <w:bookmarkEnd w:id="208"/>
      <w:bookmarkEnd w:id="209"/>
      <w:bookmarkEnd w:id="210"/>
      <w:r>
        <w:rPr>
          <w:rFonts w:hint="default"/>
        </w:rPr>
        <w:t xml:space="preserve"> </w:t>
      </w:r>
    </w:p>
    <w:p>
      <w:pPr>
        <w:spacing w:line="240" w:lineRule="auto"/>
        <w:rPr>
          <w:rFonts w:ascii="Times New Roman" w:hAnsi="Times New Roman" w:cs="Times New Roman"/>
          <w:i/>
          <w:color w:val="000000"/>
          <w:sz w:val="24"/>
          <w:szCs w:val="24"/>
        </w:rPr>
      </w:pPr>
    </w:p>
    <w:p>
      <w:pPr>
        <w:tabs>
          <w:tab w:val="left" w:pos="960"/>
        </w:tabs>
        <w:rPr>
          <w:rFonts w:hint="default"/>
          <w:lang w:val="en-US"/>
        </w:rPr>
      </w:pPr>
      <w:r>
        <w:rPr>
          <w:rFonts w:hint="default"/>
          <w:lang w:val="en-US"/>
        </w:rPr>
        <w:drawing>
          <wp:inline distT="0" distB="0" distL="114300" distR="114300">
            <wp:extent cx="6397625" cy="7506335"/>
            <wp:effectExtent l="0" t="0" r="3175" b="18415"/>
            <wp:docPr id="1" name="Picture 1" descr="FLORENCE LETTER _20241107_0001_Page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FLORENCE LETTER _20241107_0001_Page_1"/>
                    <pic:cNvPicPr>
                      <a:picLocks noChangeAspect="1"/>
                    </pic:cNvPicPr>
                  </pic:nvPicPr>
                  <pic:blipFill>
                    <a:blip r:embed="rId13"/>
                    <a:stretch>
                      <a:fillRect/>
                    </a:stretch>
                  </pic:blipFill>
                  <pic:spPr>
                    <a:xfrm>
                      <a:off x="0" y="0"/>
                      <a:ext cx="6397625" cy="7506335"/>
                    </a:xfrm>
                    <a:prstGeom prst="rect">
                      <a:avLst/>
                    </a:prstGeom>
                  </pic:spPr>
                </pic:pic>
              </a:graphicData>
            </a:graphic>
          </wp:inline>
        </w:drawing>
      </w:r>
    </w:p>
    <w:p>
      <w:pPr>
        <w:pStyle w:val="7"/>
        <w:bidi w:val="0"/>
      </w:pPr>
      <w:bookmarkStart w:id="211" w:name="_Toc31011"/>
      <w:bookmarkStart w:id="212" w:name="_Toc7449"/>
      <w:bookmarkStart w:id="213" w:name="_Toc31336"/>
      <w:r>
        <w:rPr>
          <w:rFonts w:hint="default"/>
          <w:lang w:val="en-US"/>
        </w:rPr>
        <w:t xml:space="preserve">APPENDIX V </w:t>
      </w:r>
      <w:r>
        <w:rPr>
          <w:rFonts w:hint="default"/>
        </w:rPr>
        <w:t>Permission Letter for Conducting Research at</w:t>
      </w:r>
      <w:bookmarkEnd w:id="211"/>
      <w:bookmarkEnd w:id="212"/>
      <w:r>
        <w:rPr>
          <w:rFonts w:hint="default"/>
          <w:lang w:val="en-US"/>
        </w:rPr>
        <w:t xml:space="preserve"> </w:t>
      </w:r>
      <w:r>
        <w:t>Tanzania Public Service Social Security Fund (PSSSF), Dar Es Salaam</w:t>
      </w:r>
      <w:bookmarkEnd w:id="213"/>
    </w:p>
    <w:p>
      <w:pPr>
        <w:pStyle w:val="7"/>
        <w:bidi w:val="0"/>
      </w:pPr>
    </w:p>
    <w:p>
      <w:pPr>
        <w:pStyle w:val="7"/>
        <w:bidi w:val="0"/>
        <w:rPr>
          <w:rFonts w:hint="default"/>
          <w:lang w:val="en-US"/>
        </w:rPr>
      </w:pPr>
    </w:p>
    <w:p/>
    <w:sectPr>
      <w:pgSz w:w="12240" w:h="15840"/>
      <w:pgMar w:top="1440" w:right="1800" w:bottom="1440" w:left="180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86"/>
    <w:family w:val="swiss"/>
    <w:pitch w:val="default"/>
    <w:sig w:usb0="E4002EFF" w:usb1="C000247B" w:usb2="00000009" w:usb3="00000000" w:csb0="200001FF" w:csb1="00000000"/>
  </w:font>
  <w:font w:name="DengXian Light">
    <w:altName w:val="ANGEL TEARS"/>
    <w:panose1 w:val="00000000000000000000"/>
    <w:charset w:val="00"/>
    <w:family w:val="auto"/>
    <w:pitch w:val="default"/>
    <w:sig w:usb0="00000000" w:usb1="00000000" w:usb2="00000000" w:usb3="00000000" w:csb0="00000000" w:csb1="00000000"/>
  </w:font>
  <w:font w:name="Calibri Light">
    <w:panose1 w:val="020F0302020204030204"/>
    <w:charset w:val="00"/>
    <w:family w:val="swiss"/>
    <w:pitch w:val="default"/>
    <w:sig w:usb0="E4002EFF" w:usb1="C000247B" w:usb2="00000009" w:usb3="00000000" w:csb0="200001FF" w:csb1="00000000"/>
  </w:font>
  <w:font w:name="Segoe UI">
    <w:panose1 w:val="020B0502040204020203"/>
    <w:charset w:val="00"/>
    <w:family w:val="swiss"/>
    <w:pitch w:val="default"/>
    <w:sig w:usb0="E4002EFF" w:usb1="C000E47F" w:usb2="00000009" w:usb3="00000000" w:csb0="200001FF" w:csb1="00000000"/>
  </w:font>
  <w:font w:name="DengXian">
    <w:altName w:val="SimSun"/>
    <w:panose1 w:val="02010600030101010101"/>
    <w:charset w:val="86"/>
    <w:family w:val="auto"/>
    <w:pitch w:val="default"/>
    <w:sig w:usb0="00000000" w:usb1="00000000" w:usb2="00000000" w:usb3="00000000" w:csb0="00000000" w:csb1="00000000"/>
  </w:font>
  <w:font w:name="SimHei">
    <w:altName w:val="SimSun"/>
    <w:panose1 w:val="02010600030101010101"/>
    <w:charset w:val="86"/>
    <w:family w:val="modern"/>
    <w:pitch w:val="default"/>
    <w:sig w:usb0="00000000" w:usb1="00000000" w:usb2="00000016" w:usb3="00000000" w:csb0="00040001" w:csb1="00000000"/>
  </w:font>
  <w:font w:name="Symbol">
    <w:panose1 w:val="05050102010706020507"/>
    <w:charset w:val="02"/>
    <w:family w:val="roman"/>
    <w:pitch w:val="default"/>
    <w:sig w:usb0="00000000" w:usb1="00000000" w:usb2="00000000" w:usb3="00000000" w:csb0="80000000" w:csb1="0000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81915" cy="170815"/>
              <wp:effectExtent l="0" t="0" r="6985" b="13334"/>
              <wp:wrapNone/>
              <wp:docPr id="4097" name="Text Box 3"/>
              <wp:cNvGraphicFramePr/>
              <a:graphic xmlns:a="http://schemas.openxmlformats.org/drawingml/2006/main">
                <a:graphicData uri="http://schemas.microsoft.com/office/word/2010/wordprocessingShape">
                  <wps:wsp>
                    <wps:cNvSpPr/>
                    <wps:spPr>
                      <a:xfrm>
                        <a:off x="0" y="0"/>
                        <a:ext cx="81915" cy="170815"/>
                      </a:xfrm>
                      <a:prstGeom prst="rect">
                        <a:avLst/>
                      </a:prstGeom>
                      <a:ln>
                        <a:noFill/>
                      </a:ln>
                    </wps:spPr>
                    <wps:txbx>
                      <w:txbxContent>
                        <w:p>
                          <w:pPr>
                            <w:pStyle w:val="17"/>
                          </w:pPr>
                        </w:p>
                      </w:txbxContent>
                    </wps:txbx>
                    <wps:bodyPr vert="horz" wrap="none" lIns="0" tIns="0" rIns="0" bIns="0" anchor="t">
                      <a:spAutoFit/>
                    </wps:bodyPr>
                  </wps:wsp>
                </a:graphicData>
              </a:graphic>
            </wp:anchor>
          </w:drawing>
        </mc:Choice>
        <mc:Fallback>
          <w:pict>
            <v:rect id="Text Box 3" o:spid="_x0000_s1026" o:spt="1" style="position:absolute;left:0pt;margin-top:0pt;height:13.45pt;width:6.45pt;mso-position-horizontal:center;mso-position-horizontal-relative:margin;mso-wrap-style:none;z-index:251659264;mso-width-relative:page;mso-height-relative:page;" filled="f" stroked="f" coordsize="21600,21600" o:gfxdata="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C/wyh7RAAAAAwEAAA8AAAAAAAAAAQAgAAAAIgAAAGRycy9kb3ducmV2LnhtbFBLAQIUABQA&#10;AAAIAIdO4kDaSZhCvgEAAI4DAAAOAAAAAAAAAAEAIAAAACABAABkcnMvZTJvRG9jLnhtbFBLBQYA&#10;AAAABgAGAFkBAABQBQAAAAA=&#10;">
              <v:fill on="f" focussize="0,0"/>
              <v:stroke on="f"/>
              <v:imagedata o:title=""/>
              <o:lock v:ext="edit" aspectratio="f"/>
              <v:textbox inset="0mm,0mm,0mm,0mm" style="mso-fit-shape-to-text:t;">
                <w:txbxContent>
                  <w:p>
                    <w:pPr>
                      <w:pStyle w:val="17"/>
                    </w:pP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098" name="Text Box 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7"/>
                          </w:pPr>
                          <w:r>
                            <w:fldChar w:fldCharType="begin"/>
                          </w:r>
                          <w:r>
                            <w:instrText xml:space="preserve"> PAGE  \* MERGEFORMAT </w:instrText>
                          </w:r>
                          <w:r>
                            <w:fldChar w:fldCharType="separate"/>
                          </w:r>
                          <w:r>
                            <w:t>i</w:t>
                          </w:r>
                          <w:r>
                            <w:fldChar w:fldCharType="end"/>
                          </w:r>
                        </w:p>
                      </w:txbxContent>
                    </wps:txbx>
                    <wps:bodyPr vert="horz" wrap="none" lIns="0" tIns="0" rIns="0" bIns="0" anchor="t">
                      <a:spAutoFit/>
                    </wps:bodyPr>
                  </wps:wsp>
                </a:graphicData>
              </a:graphic>
            </wp:anchor>
          </w:drawing>
        </mc:Choice>
        <mc:Fallback>
          <w:pict>
            <v:rect id="Text Box 4"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uXW5UtAAAAAFAQAADwAAAAAAAAABACAAAAAiAAAAZHJzL2Rvd25yZXYueG1sUEsBAhQAFAAAAAgA&#10;h07iQMPMrnK7AQAAkQMAAA4AAAAAAAAAAQAgAAAAHwEAAGRycy9lMm9Eb2MueG1sUEsFBgAAAAAG&#10;AAYAWQEAAEwFAAAAAA==&#10;">
              <v:fill on="f" focussize="0,0"/>
              <v:stroke on="f"/>
              <v:imagedata o:title=""/>
              <o:lock v:ext="edit" aspectratio="f"/>
              <v:textbox inset="0mm,0mm,0mm,0mm" style="mso-fit-shape-to-text:t;">
                <w:txbxContent>
                  <w:p>
                    <w:pPr>
                      <w:pStyle w:val="17"/>
                    </w:pPr>
                    <w:r>
                      <w:fldChar w:fldCharType="begin"/>
                    </w:r>
                    <w:r>
                      <w:instrText xml:space="preserve"> PAGE  \* MERGEFORMAT </w:instrText>
                    </w:r>
                    <w:r>
                      <w:fldChar w:fldCharType="separate"/>
                    </w:r>
                    <w:r>
                      <w:t>i</w:t>
                    </w:r>
                    <w:r>
                      <w:fldChar w:fldCharType="end"/>
                    </w:r>
                  </w:p>
                </w:txbxContent>
              </v:textbox>
            </v:rect>
          </w:pict>
        </mc:Fallback>
      </mc:AlternateContent>
    </w: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81915" cy="170815"/>
              <wp:effectExtent l="0" t="0" r="6985" b="13334"/>
              <wp:wrapNone/>
              <wp:docPr id="4099" name="Text Box 2"/>
              <wp:cNvGraphicFramePr/>
              <a:graphic xmlns:a="http://schemas.openxmlformats.org/drawingml/2006/main">
                <a:graphicData uri="http://schemas.microsoft.com/office/word/2010/wordprocessingShape">
                  <wps:wsp>
                    <wps:cNvSpPr/>
                    <wps:spPr>
                      <a:xfrm>
                        <a:off x="0" y="0"/>
                        <a:ext cx="81915" cy="170815"/>
                      </a:xfrm>
                      <a:prstGeom prst="rect">
                        <a:avLst/>
                      </a:prstGeom>
                      <a:ln>
                        <a:noFill/>
                      </a:ln>
                    </wps:spPr>
                    <wps:txbx>
                      <w:txbxContent>
                        <w:p>
                          <w:pPr>
                            <w:pStyle w:val="17"/>
                          </w:pPr>
                        </w:p>
                      </w:txbxContent>
                    </wps:txbx>
                    <wps:bodyPr vert="horz" wrap="none" lIns="0" tIns="0" rIns="0" bIns="0" anchor="t">
                      <a:spAutoFit/>
                    </wps:bodyPr>
                  </wps:wsp>
                </a:graphicData>
              </a:graphic>
            </wp:anchor>
          </w:drawing>
        </mc:Choice>
        <mc:Fallback>
          <w:pict>
            <v:rect id="Text Box 2" o:spid="_x0000_s1026" o:spt="1" style="position:absolute;left:0pt;margin-top:0pt;height:13.45pt;width:6.45pt;mso-position-horizontal:center;mso-position-horizontal-relative:margin;mso-wrap-style:none;z-index:251659264;mso-width-relative:page;mso-height-relative:page;" filled="f" stroked="f" coordsize="21600,21600" o:gfxdata="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C/wyh7RAAAAAwEAAA8AAAAAAAAAAQAgAAAAIgAAAGRycy9kb3ducmV2LnhtbFBLAQIUABQA&#10;AAAIAIdO4kBz3gF3vgEAAI4DAAAOAAAAAAAAAAEAIAAAACABAABkcnMvZTJvRG9jLnhtbFBLBQYA&#10;AAAABgAGAFkBAABQBQAAAAA=&#10;">
              <v:fill on="f" focussize="0,0"/>
              <v:stroke on="f"/>
              <v:imagedata o:title=""/>
              <o:lock v:ext="edit" aspectratio="f"/>
              <v:textbox inset="0mm,0mm,0mm,0mm" style="mso-fit-shape-to-text:t;">
                <w:txbxContent>
                  <w:p>
                    <w:pPr>
                      <w:pStyle w:val="17"/>
                    </w:pP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00" name="Text Box 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7"/>
                            <w:jc w:val="center"/>
                          </w:pPr>
                          <w:r>
                            <w:fldChar w:fldCharType="begin"/>
                          </w:r>
                          <w:r>
                            <w:instrText xml:space="preserve"> PAGE   \* MERGEFORMAT </w:instrText>
                          </w:r>
                          <w:r>
                            <w:fldChar w:fldCharType="separate"/>
                          </w:r>
                          <w:r>
                            <w:t>xiv</w:t>
                          </w:r>
                          <w:r>
                            <w:fldChar w:fldCharType="end"/>
                          </w:r>
                        </w:p>
                        <w:p/>
                      </w:txbxContent>
                    </wps:txbx>
                    <wps:bodyPr vert="horz" wrap="none" lIns="0" tIns="0" rIns="0" bIns="0" anchor="t">
                      <a:spAutoFit/>
                    </wps:bodyPr>
                  </wps:wsp>
                </a:graphicData>
              </a:graphic>
            </wp:anchor>
          </w:drawing>
        </mc:Choice>
        <mc:Fallback>
          <w:pict>
            <v:rect id="Text Box 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C5&#10;dblS0AAAAAUBAAAPAAAAAAAAAAEAIAAAACIAAABkcnMvZG93bnJldi54bWxQSwECFAAUAAAACACH&#10;TuJAXQswdLoBAACRAwAADgAAAAAAAAABACAAAAAfAQAAZHJzL2Uyb0RvYy54bWxQSwUGAAAAAAYA&#10;BgBZAQAASwUAAAAA&#10;">
              <v:fill on="f" focussize="0,0"/>
              <v:stroke on="f"/>
              <v:imagedata o:title=""/>
              <o:lock v:ext="edit" aspectratio="f"/>
              <v:textbox inset="0mm,0mm,0mm,0mm" style="mso-fit-shape-to-text:t;">
                <w:txbxContent>
                  <w:p>
                    <w:pPr>
                      <w:pStyle w:val="17"/>
                      <w:jc w:val="center"/>
                    </w:pPr>
                    <w:r>
                      <w:fldChar w:fldCharType="begin"/>
                    </w:r>
                    <w:r>
                      <w:instrText xml:space="preserve"> PAGE   \* MERGEFORMAT </w:instrText>
                    </w:r>
                    <w:r>
                      <w:fldChar w:fldCharType="separate"/>
                    </w:r>
                    <w:r>
                      <w:t>xiv</w:t>
                    </w:r>
                    <w:r>
                      <w:fldChar w:fldCharType="end"/>
                    </w:r>
                  </w:p>
                  <w:p/>
                </w:txbxContent>
              </v:textbox>
            </v:rect>
          </w:pict>
        </mc:Fallback>
      </mc:AlternateContent>
    </w:r>
  </w:p>
  <w:p>
    <w:pPr>
      <w:pStyle w:val="1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01" name="Text Box 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7"/>
                            <w:jc w:val="center"/>
                          </w:pPr>
                          <w:r>
                            <w:fldChar w:fldCharType="begin"/>
                          </w:r>
                          <w:r>
                            <w:instrText xml:space="preserve"> PAGE   \* MERGEFORMAT </w:instrText>
                          </w:r>
                          <w:r>
                            <w:fldChar w:fldCharType="separate"/>
                          </w:r>
                          <w:r>
                            <w:t>5</w:t>
                          </w:r>
                          <w:r>
                            <w:fldChar w:fldCharType="end"/>
                          </w:r>
                        </w:p>
                        <w:p/>
                      </w:txbxContent>
                    </wps:txbx>
                    <wps:bodyPr vert="horz" wrap="none" lIns="0" tIns="0" rIns="0" bIns="0" anchor="t">
                      <a:spAutoFit/>
                    </wps:bodyPr>
                  </wps:wsp>
                </a:graphicData>
              </a:graphic>
            </wp:anchor>
          </w:drawing>
        </mc:Choice>
        <mc:Fallback>
          <w:pict>
            <v:rect id="Text Box 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uXW5UtAAAAAFAQAADwAAAAAAAAABACAAAAAiAAAAZHJzL2Rvd25yZXYueG1sUEsBAhQAFAAAAAgA&#10;h07iQL4TK2G7AQAAkgMAAA4AAAAAAAAAAQAgAAAAHwEAAGRycy9lMm9Eb2MueG1sUEsFBgAAAAAG&#10;AAYAWQEAAEwFAAAAAA==&#10;">
              <v:fill on="f" focussize="0,0"/>
              <v:stroke on="f"/>
              <v:imagedata o:title=""/>
              <o:lock v:ext="edit" aspectratio="f"/>
              <v:textbox inset="0mm,0mm,0mm,0mm" style="mso-fit-shape-to-text:t;">
                <w:txbxContent>
                  <w:p>
                    <w:pPr>
                      <w:pStyle w:val="17"/>
                      <w:jc w:val="center"/>
                    </w:pPr>
                    <w:r>
                      <w:fldChar w:fldCharType="begin"/>
                    </w:r>
                    <w:r>
                      <w:instrText xml:space="preserve"> PAGE   \* MERGEFORMAT </w:instrText>
                    </w:r>
                    <w:r>
                      <w:fldChar w:fldCharType="separate"/>
                    </w:r>
                    <w:r>
                      <w:t>5</w:t>
                    </w:r>
                    <w:r>
                      <w:fldChar w:fldCharType="end"/>
                    </w:r>
                  </w:p>
                  <w:p/>
                </w:txbxContent>
              </v:textbox>
            </v:rect>
          </w:pict>
        </mc:Fallback>
      </mc:AlternateContent>
    </w:r>
  </w:p>
  <w:p>
    <w:pPr>
      <w:pStyle w:val="1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60" w:lineRule="auto"/>
      </w:pPr>
      <w:r>
        <w:separator/>
      </w:r>
    </w:p>
  </w:footnote>
  <w:footnote w:type="continuationSeparator" w:id="1">
    <w:p>
      <w:pPr>
        <w:spacing w:before="0" w:after="0"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
    <w:nsid w:val="00000002"/>
    <w:multiLevelType w:val="multilevel"/>
    <w:tmpl w:val="00000002"/>
    <w:lvl w:ilvl="0" w:tentative="0">
      <w:start w:val="1"/>
      <w:numFmt w:val="decimal"/>
      <w:lvlText w:val="%1."/>
      <w:lvlJc w:val="left"/>
      <w:pPr>
        <w:tabs>
          <w:tab w:val="left" w:pos="720"/>
        </w:tabs>
        <w:ind w:left="720" w:hanging="360"/>
      </w:p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
    <w:nsid w:val="00000003"/>
    <w:multiLevelType w:val="multilevel"/>
    <w:tmpl w:val="00000003"/>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3">
    <w:nsid w:val="00000004"/>
    <w:multiLevelType w:val="multilevel"/>
    <w:tmpl w:val="00000004"/>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4">
    <w:nsid w:val="00000005"/>
    <w:multiLevelType w:val="multilevel"/>
    <w:tmpl w:val="00000005"/>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5">
    <w:nsid w:val="00000006"/>
    <w:multiLevelType w:val="multilevel"/>
    <w:tmpl w:val="00000006"/>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6">
    <w:nsid w:val="00000007"/>
    <w:multiLevelType w:val="multilevel"/>
    <w:tmpl w:val="00000007"/>
    <w:lvl w:ilvl="0" w:tentative="0">
      <w:start w:val="1"/>
      <w:numFmt w:val="decimal"/>
      <w:lvlText w:val="%1."/>
      <w:lvlJc w:val="left"/>
      <w:pPr>
        <w:tabs>
          <w:tab w:val="left" w:pos="720"/>
        </w:tabs>
        <w:ind w:left="720" w:hanging="360"/>
      </w:p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7">
    <w:nsid w:val="00000008"/>
    <w:multiLevelType w:val="multilevel"/>
    <w:tmpl w:val="00000008"/>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8">
    <w:nsid w:val="00000009"/>
    <w:multiLevelType w:val="multilevel"/>
    <w:tmpl w:val="00000009"/>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9">
    <w:nsid w:val="0000000A"/>
    <w:multiLevelType w:val="multilevel"/>
    <w:tmpl w:val="0000000A"/>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0">
    <w:nsid w:val="0000000B"/>
    <w:multiLevelType w:val="multilevel"/>
    <w:tmpl w:val="0000000B"/>
    <w:lvl w:ilvl="0" w:tentative="0">
      <w:start w:val="1"/>
      <w:numFmt w:val="decimal"/>
      <w:lvlText w:val="%1."/>
      <w:lvlJc w:val="left"/>
      <w:pPr>
        <w:tabs>
          <w:tab w:val="left" w:pos="720"/>
        </w:tabs>
        <w:ind w:left="720" w:hanging="360"/>
      </w:p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1">
    <w:nsid w:val="0000000C"/>
    <w:multiLevelType w:val="multilevel"/>
    <w:tmpl w:val="0000000C"/>
    <w:lvl w:ilvl="0" w:tentative="0">
      <w:start w:val="1"/>
      <w:numFmt w:val="decimal"/>
      <w:lvlText w:val="%1."/>
      <w:lvlJc w:val="left"/>
      <w:pPr>
        <w:tabs>
          <w:tab w:val="left" w:pos="720"/>
        </w:tabs>
        <w:ind w:left="720" w:hanging="360"/>
      </w:p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2">
    <w:nsid w:val="0000000D"/>
    <w:multiLevelType w:val="multilevel"/>
    <w:tmpl w:val="0000000D"/>
    <w:lvl w:ilvl="0" w:tentative="0">
      <w:start w:val="1"/>
      <w:numFmt w:val="bullet"/>
      <w:lvlText w:val=""/>
      <w:lvlJc w:val="left"/>
      <w:pPr>
        <w:ind w:left="360" w:hanging="360"/>
      </w:pPr>
      <w:rPr>
        <w:rFonts w:hint="default" w:ascii="Symbol" w:hAnsi="Symbol"/>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3">
    <w:nsid w:val="0000000E"/>
    <w:multiLevelType w:val="multilevel"/>
    <w:tmpl w:val="0000000E"/>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4">
    <w:nsid w:val="0000000F"/>
    <w:multiLevelType w:val="multilevel"/>
    <w:tmpl w:val="0000000F"/>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5">
    <w:nsid w:val="00000010"/>
    <w:multiLevelType w:val="multilevel"/>
    <w:tmpl w:val="00000010"/>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6">
    <w:nsid w:val="00000011"/>
    <w:multiLevelType w:val="multilevel"/>
    <w:tmpl w:val="00000011"/>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7">
    <w:nsid w:val="00000012"/>
    <w:multiLevelType w:val="multilevel"/>
    <w:tmpl w:val="00000012"/>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18">
    <w:nsid w:val="00000013"/>
    <w:multiLevelType w:val="multilevel"/>
    <w:tmpl w:val="00000013"/>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9">
    <w:nsid w:val="00000014"/>
    <w:multiLevelType w:val="multilevel"/>
    <w:tmpl w:val="00000014"/>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20">
    <w:nsid w:val="00000015"/>
    <w:multiLevelType w:val="multilevel"/>
    <w:tmpl w:val="00000015"/>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1">
    <w:nsid w:val="00000016"/>
    <w:multiLevelType w:val="multilevel"/>
    <w:tmpl w:val="00000016"/>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22">
    <w:nsid w:val="00000017"/>
    <w:multiLevelType w:val="multilevel"/>
    <w:tmpl w:val="00000017"/>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23">
    <w:nsid w:val="00000018"/>
    <w:multiLevelType w:val="multilevel"/>
    <w:tmpl w:val="00000018"/>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24">
    <w:nsid w:val="00000019"/>
    <w:multiLevelType w:val="multilevel"/>
    <w:tmpl w:val="00000019"/>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25">
    <w:nsid w:val="0000001A"/>
    <w:multiLevelType w:val="multilevel"/>
    <w:tmpl w:val="0000001A"/>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26">
    <w:nsid w:val="0000001B"/>
    <w:multiLevelType w:val="multilevel"/>
    <w:tmpl w:val="0000001B"/>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27">
    <w:nsid w:val="0000001C"/>
    <w:multiLevelType w:val="multilevel"/>
    <w:tmpl w:val="0000001C"/>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8">
    <w:nsid w:val="0000001D"/>
    <w:multiLevelType w:val="multilevel"/>
    <w:tmpl w:val="0000001D"/>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29">
    <w:nsid w:val="0000001E"/>
    <w:multiLevelType w:val="multilevel"/>
    <w:tmpl w:val="0000001E"/>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30">
    <w:nsid w:val="0000001F"/>
    <w:multiLevelType w:val="multilevel"/>
    <w:tmpl w:val="0000001F"/>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31">
    <w:nsid w:val="00000020"/>
    <w:multiLevelType w:val="multilevel"/>
    <w:tmpl w:val="00000020"/>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32">
    <w:nsid w:val="00000021"/>
    <w:multiLevelType w:val="multilevel"/>
    <w:tmpl w:val="00000021"/>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33">
    <w:nsid w:val="00000022"/>
    <w:multiLevelType w:val="multilevel"/>
    <w:tmpl w:val="00000022"/>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34">
    <w:nsid w:val="00000023"/>
    <w:multiLevelType w:val="multilevel"/>
    <w:tmpl w:val="00000023"/>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35">
    <w:nsid w:val="00000024"/>
    <w:multiLevelType w:val="multilevel"/>
    <w:tmpl w:val="00000024"/>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36">
    <w:nsid w:val="00000025"/>
    <w:multiLevelType w:val="multilevel"/>
    <w:tmpl w:val="00000025"/>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37">
    <w:nsid w:val="00000026"/>
    <w:multiLevelType w:val="multilevel"/>
    <w:tmpl w:val="00000026"/>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38">
    <w:nsid w:val="00000027"/>
    <w:multiLevelType w:val="multilevel"/>
    <w:tmpl w:val="00000027"/>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39">
    <w:nsid w:val="00000028"/>
    <w:multiLevelType w:val="multilevel"/>
    <w:tmpl w:val="00000028"/>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40">
    <w:nsid w:val="00000029"/>
    <w:multiLevelType w:val="multilevel"/>
    <w:tmpl w:val="00000029"/>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41">
    <w:nsid w:val="0000002A"/>
    <w:multiLevelType w:val="multilevel"/>
    <w:tmpl w:val="0000002A"/>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42">
    <w:nsid w:val="1C2208AB"/>
    <w:multiLevelType w:val="multilevel"/>
    <w:tmpl w:val="1C2208AB"/>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num w:numId="1">
    <w:abstractNumId w:val="20"/>
  </w:num>
  <w:num w:numId="2">
    <w:abstractNumId w:val="27"/>
  </w:num>
  <w:num w:numId="3">
    <w:abstractNumId w:val="12"/>
  </w:num>
  <w:num w:numId="4">
    <w:abstractNumId w:val="40"/>
  </w:num>
  <w:num w:numId="5">
    <w:abstractNumId w:val="18"/>
  </w:num>
  <w:num w:numId="6">
    <w:abstractNumId w:val="6"/>
  </w:num>
  <w:num w:numId="7">
    <w:abstractNumId w:val="36"/>
  </w:num>
  <w:num w:numId="8">
    <w:abstractNumId w:val="0"/>
  </w:num>
  <w:num w:numId="9">
    <w:abstractNumId w:val="3"/>
  </w:num>
  <w:num w:numId="10">
    <w:abstractNumId w:val="28"/>
  </w:num>
  <w:num w:numId="11">
    <w:abstractNumId w:val="17"/>
  </w:num>
  <w:num w:numId="12">
    <w:abstractNumId w:val="9"/>
  </w:num>
  <w:num w:numId="13">
    <w:abstractNumId w:val="29"/>
  </w:num>
  <w:num w:numId="14">
    <w:abstractNumId w:val="25"/>
  </w:num>
  <w:num w:numId="15">
    <w:abstractNumId w:val="41"/>
  </w:num>
  <w:num w:numId="16">
    <w:abstractNumId w:val="14"/>
  </w:num>
  <w:num w:numId="17">
    <w:abstractNumId w:val="21"/>
  </w:num>
  <w:num w:numId="18">
    <w:abstractNumId w:val="34"/>
  </w:num>
  <w:num w:numId="19">
    <w:abstractNumId w:val="32"/>
  </w:num>
  <w:num w:numId="20">
    <w:abstractNumId w:val="8"/>
  </w:num>
  <w:num w:numId="21">
    <w:abstractNumId w:val="38"/>
  </w:num>
  <w:num w:numId="22">
    <w:abstractNumId w:val="15"/>
  </w:num>
  <w:num w:numId="23">
    <w:abstractNumId w:val="2"/>
  </w:num>
  <w:num w:numId="24">
    <w:abstractNumId w:val="23"/>
  </w:num>
  <w:num w:numId="25">
    <w:abstractNumId w:val="16"/>
  </w:num>
  <w:num w:numId="26">
    <w:abstractNumId w:val="39"/>
  </w:num>
  <w:num w:numId="27">
    <w:abstractNumId w:val="19"/>
  </w:num>
  <w:num w:numId="28">
    <w:abstractNumId w:val="4"/>
  </w:num>
  <w:num w:numId="29">
    <w:abstractNumId w:val="30"/>
  </w:num>
  <w:num w:numId="30">
    <w:abstractNumId w:val="22"/>
  </w:num>
  <w:num w:numId="31">
    <w:abstractNumId w:val="26"/>
  </w:num>
  <w:num w:numId="32">
    <w:abstractNumId w:val="33"/>
  </w:num>
  <w:num w:numId="33">
    <w:abstractNumId w:val="35"/>
  </w:num>
  <w:num w:numId="34">
    <w:abstractNumId w:val="7"/>
  </w:num>
  <w:num w:numId="35">
    <w:abstractNumId w:val="24"/>
  </w:num>
  <w:num w:numId="36">
    <w:abstractNumId w:val="5"/>
  </w:num>
  <w:num w:numId="37">
    <w:abstractNumId w:val="13"/>
  </w:num>
  <w:num w:numId="38">
    <w:abstractNumId w:val="42"/>
  </w:num>
  <w:num w:numId="39">
    <w:abstractNumId w:val="37"/>
  </w:num>
  <w:num w:numId="40">
    <w:abstractNumId w:val="11"/>
  </w:num>
  <w:num w:numId="41">
    <w:abstractNumId w:val="10"/>
  </w:num>
  <w:num w:numId="42">
    <w:abstractNumId w:val="1"/>
  </w:num>
  <w:num w:numId="4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documentProtection w:enforcement="0"/>
  <w:defaultTabStop w:val="720"/>
  <w:displayHorizontalDrawingGridEvery w:val="1"/>
  <w:displayVerticalDrawingGridEvery w:val="1"/>
  <w:characterSpacingControl w:val="doNotCompress"/>
  <w:footnotePr>
    <w:footnote w:id="0"/>
    <w:footnote w:id="1"/>
  </w:footnotePr>
  <w:endnotePr>
    <w:endnote w:id="0"/>
    <w:endnote w:id="1"/>
  </w:endnotePr>
  <w:compat>
    <w:doNotExpandShiftReturn/>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48C3"/>
    <w:rsid w:val="00010172"/>
    <w:rsid w:val="000643B3"/>
    <w:rsid w:val="00103820"/>
    <w:rsid w:val="00321CCB"/>
    <w:rsid w:val="00357B29"/>
    <w:rsid w:val="00422349"/>
    <w:rsid w:val="00714D5D"/>
    <w:rsid w:val="007C1F24"/>
    <w:rsid w:val="007E48C3"/>
    <w:rsid w:val="00830A66"/>
    <w:rsid w:val="00946B87"/>
    <w:rsid w:val="00BA0B58"/>
    <w:rsid w:val="00D55479"/>
    <w:rsid w:val="00E07C7F"/>
    <w:rsid w:val="00E2090F"/>
    <w:rsid w:val="036778A1"/>
    <w:rsid w:val="09A767BA"/>
    <w:rsid w:val="1E572309"/>
    <w:rsid w:val="3AC42130"/>
    <w:rsid w:val="3CC527C1"/>
    <w:rsid w:val="3D331FB7"/>
    <w:rsid w:val="421729AE"/>
    <w:rsid w:val="45A6048D"/>
    <w:rsid w:val="4A2E6EF0"/>
    <w:rsid w:val="6BC5599E"/>
    <w:rsid w:val="7DF940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Calibri"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iPriority="9"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35" w:semiHidden="0" w:name="caption"/>
    <w:lsdException w:qFormat="1" w:unhideWhenUsed="0" w:uiPriority="99" w:semiHidden="0"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before="120" w:after="160" w:line="360" w:lineRule="auto"/>
      <w:jc w:val="both"/>
    </w:pPr>
    <w:rPr>
      <w:rFonts w:ascii="Times New Roman" w:hAnsi="Times New Roman" w:eastAsia="Calibri" w:cs="SimSun"/>
      <w:sz w:val="24"/>
      <w:szCs w:val="22"/>
      <w:lang w:val="en-US" w:eastAsia="en-US" w:bidi="ar-SA"/>
    </w:rPr>
  </w:style>
  <w:style w:type="paragraph" w:styleId="2">
    <w:name w:val="heading 1"/>
    <w:basedOn w:val="1"/>
    <w:next w:val="1"/>
    <w:link w:val="32"/>
    <w:qFormat/>
    <w:uiPriority w:val="9"/>
    <w:pPr>
      <w:keepNext/>
      <w:keepLines/>
      <w:spacing w:before="240" w:after="0"/>
      <w:jc w:val="center"/>
      <w:outlineLvl w:val="0"/>
    </w:pPr>
    <w:rPr>
      <w:rFonts w:eastAsia="DengXian Light"/>
      <w:b/>
      <w:szCs w:val="32"/>
    </w:rPr>
  </w:style>
  <w:style w:type="paragraph" w:styleId="3">
    <w:name w:val="heading 2"/>
    <w:basedOn w:val="1"/>
    <w:next w:val="1"/>
    <w:link w:val="33"/>
    <w:qFormat/>
    <w:uiPriority w:val="9"/>
    <w:pPr>
      <w:keepNext/>
      <w:keepLines/>
      <w:spacing w:before="240" w:after="240"/>
      <w:jc w:val="left"/>
      <w:outlineLvl w:val="1"/>
    </w:pPr>
    <w:rPr>
      <w:rFonts w:eastAsia="DengXian Light"/>
      <w:b/>
      <w:szCs w:val="26"/>
    </w:rPr>
  </w:style>
  <w:style w:type="paragraph" w:styleId="4">
    <w:name w:val="heading 3"/>
    <w:basedOn w:val="1"/>
    <w:next w:val="1"/>
    <w:link w:val="34"/>
    <w:qFormat/>
    <w:uiPriority w:val="9"/>
    <w:pPr>
      <w:keepNext/>
      <w:keepLines/>
      <w:spacing w:before="40" w:after="0"/>
      <w:jc w:val="left"/>
      <w:outlineLvl w:val="2"/>
    </w:pPr>
    <w:rPr>
      <w:rFonts w:eastAsia="DengXian Light"/>
      <w:b/>
      <w:szCs w:val="24"/>
    </w:rPr>
  </w:style>
  <w:style w:type="paragraph" w:styleId="5">
    <w:name w:val="heading 4"/>
    <w:basedOn w:val="1"/>
    <w:next w:val="1"/>
    <w:link w:val="37"/>
    <w:qFormat/>
    <w:uiPriority w:val="9"/>
    <w:pPr>
      <w:keepNext/>
      <w:keepLines/>
      <w:spacing w:before="40" w:after="0"/>
      <w:outlineLvl w:val="3"/>
    </w:pPr>
    <w:rPr>
      <w:rFonts w:ascii="Calibri Light" w:hAnsi="Calibri Light" w:eastAsia="DengXian Light"/>
      <w:i/>
      <w:iCs/>
      <w:color w:val="2F5597"/>
    </w:rPr>
  </w:style>
  <w:style w:type="paragraph" w:styleId="6">
    <w:name w:val="heading 5"/>
    <w:basedOn w:val="1"/>
    <w:next w:val="1"/>
    <w:link w:val="41"/>
    <w:qFormat/>
    <w:uiPriority w:val="9"/>
    <w:pPr>
      <w:keepNext/>
      <w:keepLines/>
      <w:spacing w:before="40" w:after="0"/>
      <w:outlineLvl w:val="4"/>
    </w:pPr>
    <w:rPr>
      <w:rFonts w:ascii="Calibri Light" w:hAnsi="Calibri Light" w:eastAsia="DengXian Light"/>
      <w:color w:val="2F5597"/>
    </w:rPr>
  </w:style>
  <w:style w:type="paragraph" w:styleId="7">
    <w:name w:val="heading 6"/>
    <w:basedOn w:val="1"/>
    <w:next w:val="1"/>
    <w:unhideWhenUsed/>
    <w:qFormat/>
    <w:uiPriority w:val="9"/>
    <w:pPr>
      <w:keepNext/>
      <w:keepLines/>
      <w:spacing w:before="240" w:after="64" w:line="320" w:lineRule="auto"/>
      <w:outlineLvl w:val="5"/>
    </w:pPr>
    <w:rPr>
      <w:b/>
      <w:bCs/>
      <w:sz w:val="24"/>
      <w:szCs w:val="24"/>
    </w:rPr>
  </w:style>
  <w:style w:type="character" w:default="1" w:styleId="8">
    <w:name w:val="Default Paragraph Font"/>
    <w:semiHidden/>
    <w:unhideWhenUsed/>
    <w:uiPriority w:val="1"/>
  </w:style>
  <w:style w:type="table" w:default="1" w:styleId="9">
    <w:name w:val="Normal Table"/>
    <w:semiHidden/>
    <w:unhideWhenUsed/>
    <w:qFormat/>
    <w:uiPriority w:val="99"/>
    <w:pPr>
      <w:keepNext w:val="0"/>
      <w:keepLines w:val="0"/>
      <w:widowControl/>
      <w:suppressLineNumbers w:val="0"/>
      <w:spacing w:before="0" w:beforeAutospacing="0" w:after="200" w:afterAutospacing="0" w:line="276" w:lineRule="auto"/>
      <w:ind w:left="0" w:right="0"/>
    </w:pPr>
    <w:rPr>
      <w:rFonts w:hint="eastAsia" w:ascii="Calibri" w:hAnsi="Calibri" w:eastAsia="Times New Roman" w:cs="Times New Roman"/>
      <w:sz w:val="22"/>
      <w:szCs w:val="22"/>
    </w:rPr>
    <w:tblPr>
      <w:tblCellMar>
        <w:top w:w="0" w:type="dxa"/>
        <w:left w:w="108" w:type="dxa"/>
        <w:bottom w:w="0" w:type="dxa"/>
        <w:right w:w="108" w:type="dxa"/>
      </w:tblCellMar>
    </w:tblPr>
  </w:style>
  <w:style w:type="paragraph" w:styleId="10">
    <w:name w:val="Balloon Text"/>
    <w:basedOn w:val="1"/>
    <w:link w:val="47"/>
    <w:semiHidden/>
    <w:unhideWhenUsed/>
    <w:qFormat/>
    <w:uiPriority w:val="99"/>
    <w:pPr>
      <w:spacing w:before="0" w:after="0" w:line="240" w:lineRule="auto"/>
    </w:pPr>
    <w:rPr>
      <w:rFonts w:ascii="Segoe UI" w:hAnsi="Segoe UI" w:cs="Segoe UI"/>
      <w:sz w:val="18"/>
      <w:szCs w:val="18"/>
    </w:rPr>
  </w:style>
  <w:style w:type="paragraph" w:styleId="11">
    <w:name w:val="Body Text"/>
    <w:basedOn w:val="1"/>
    <w:link w:val="40"/>
    <w:qFormat/>
    <w:uiPriority w:val="1"/>
    <w:pPr>
      <w:widowControl w:val="0"/>
      <w:autoSpaceDE w:val="0"/>
      <w:autoSpaceDN w:val="0"/>
      <w:spacing w:before="0" w:after="0"/>
      <w:ind w:left="588"/>
    </w:pPr>
    <w:rPr>
      <w:rFonts w:eastAsia="Times New Roman" w:cs="Times New Roman"/>
      <w:szCs w:val="24"/>
    </w:rPr>
  </w:style>
  <w:style w:type="paragraph" w:styleId="12">
    <w:name w:val="caption"/>
    <w:basedOn w:val="1"/>
    <w:next w:val="1"/>
    <w:qFormat/>
    <w:uiPriority w:val="35"/>
    <w:pPr>
      <w:spacing w:before="0" w:after="200" w:line="240" w:lineRule="auto"/>
    </w:pPr>
    <w:rPr>
      <w:i/>
      <w:iCs/>
      <w:color w:val="44546A"/>
      <w:sz w:val="18"/>
      <w:szCs w:val="18"/>
    </w:rPr>
  </w:style>
  <w:style w:type="character" w:styleId="13">
    <w:name w:val="annotation reference"/>
    <w:basedOn w:val="8"/>
    <w:semiHidden/>
    <w:unhideWhenUsed/>
    <w:uiPriority w:val="99"/>
    <w:rPr>
      <w:sz w:val="16"/>
      <w:szCs w:val="16"/>
    </w:rPr>
  </w:style>
  <w:style w:type="paragraph" w:styleId="14">
    <w:name w:val="annotation text"/>
    <w:basedOn w:val="1"/>
    <w:link w:val="45"/>
    <w:semiHidden/>
    <w:unhideWhenUsed/>
    <w:qFormat/>
    <w:uiPriority w:val="99"/>
    <w:pPr>
      <w:spacing w:line="240" w:lineRule="auto"/>
    </w:pPr>
    <w:rPr>
      <w:sz w:val="20"/>
      <w:szCs w:val="20"/>
    </w:rPr>
  </w:style>
  <w:style w:type="paragraph" w:styleId="15">
    <w:name w:val="annotation subject"/>
    <w:basedOn w:val="14"/>
    <w:next w:val="14"/>
    <w:link w:val="46"/>
    <w:semiHidden/>
    <w:unhideWhenUsed/>
    <w:qFormat/>
    <w:uiPriority w:val="99"/>
    <w:rPr>
      <w:b/>
      <w:bCs/>
    </w:rPr>
  </w:style>
  <w:style w:type="character" w:styleId="16">
    <w:name w:val="Emphasis"/>
    <w:basedOn w:val="8"/>
    <w:qFormat/>
    <w:uiPriority w:val="20"/>
    <w:rPr>
      <w:i/>
      <w:iCs/>
    </w:rPr>
  </w:style>
  <w:style w:type="paragraph" w:styleId="17">
    <w:name w:val="footer"/>
    <w:basedOn w:val="1"/>
    <w:link w:val="36"/>
    <w:qFormat/>
    <w:uiPriority w:val="99"/>
    <w:pPr>
      <w:tabs>
        <w:tab w:val="center" w:pos="4680"/>
        <w:tab w:val="right" w:pos="9360"/>
      </w:tabs>
      <w:spacing w:before="0" w:after="0" w:line="240" w:lineRule="auto"/>
    </w:pPr>
  </w:style>
  <w:style w:type="paragraph" w:styleId="18">
    <w:name w:val="header"/>
    <w:basedOn w:val="1"/>
    <w:link w:val="35"/>
    <w:qFormat/>
    <w:uiPriority w:val="99"/>
    <w:pPr>
      <w:tabs>
        <w:tab w:val="center" w:pos="4680"/>
        <w:tab w:val="right" w:pos="9360"/>
      </w:tabs>
      <w:spacing w:before="0" w:after="0" w:line="240" w:lineRule="auto"/>
    </w:pPr>
  </w:style>
  <w:style w:type="character" w:styleId="19">
    <w:name w:val="Hyperlink"/>
    <w:basedOn w:val="8"/>
    <w:qFormat/>
    <w:uiPriority w:val="99"/>
    <w:rPr>
      <w:color w:val="0563C1"/>
      <w:u w:val="single"/>
    </w:rPr>
  </w:style>
  <w:style w:type="paragraph" w:styleId="20">
    <w:name w:val="Normal (Web)"/>
    <w:basedOn w:val="1"/>
    <w:qFormat/>
    <w:uiPriority w:val="99"/>
    <w:rPr>
      <w:rFonts w:cs="Times New Roman"/>
      <w:szCs w:val="24"/>
    </w:rPr>
  </w:style>
  <w:style w:type="table" w:styleId="21">
    <w:name w:val="Table Grid"/>
    <w:basedOn w:val="9"/>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22">
    <w:name w:val="table of figures"/>
    <w:basedOn w:val="1"/>
    <w:next w:val="1"/>
    <w:qFormat/>
    <w:uiPriority w:val="99"/>
    <w:pPr>
      <w:spacing w:after="0"/>
    </w:pPr>
  </w:style>
  <w:style w:type="paragraph" w:styleId="23">
    <w:name w:val="toc 1"/>
    <w:basedOn w:val="1"/>
    <w:next w:val="1"/>
    <w:qFormat/>
    <w:uiPriority w:val="39"/>
    <w:pPr>
      <w:spacing w:after="100"/>
    </w:pPr>
  </w:style>
  <w:style w:type="paragraph" w:styleId="24">
    <w:name w:val="toc 2"/>
    <w:basedOn w:val="1"/>
    <w:next w:val="1"/>
    <w:qFormat/>
    <w:uiPriority w:val="39"/>
    <w:pPr>
      <w:spacing w:after="100"/>
      <w:ind w:left="240"/>
    </w:pPr>
  </w:style>
  <w:style w:type="paragraph" w:styleId="25">
    <w:name w:val="toc 3"/>
    <w:basedOn w:val="1"/>
    <w:next w:val="1"/>
    <w:qFormat/>
    <w:uiPriority w:val="39"/>
    <w:pPr>
      <w:spacing w:after="100"/>
      <w:ind w:left="480"/>
    </w:pPr>
  </w:style>
  <w:style w:type="paragraph" w:styleId="26">
    <w:name w:val="toc 4"/>
    <w:basedOn w:val="1"/>
    <w:next w:val="1"/>
    <w:qFormat/>
    <w:uiPriority w:val="39"/>
    <w:pPr>
      <w:spacing w:before="0" w:after="100" w:line="259" w:lineRule="auto"/>
      <w:ind w:left="660"/>
      <w:jc w:val="left"/>
    </w:pPr>
    <w:rPr>
      <w:rFonts w:ascii="Calibri" w:hAnsi="Calibri" w:eastAsia="DengXian"/>
      <w:sz w:val="22"/>
    </w:rPr>
  </w:style>
  <w:style w:type="paragraph" w:styleId="27">
    <w:name w:val="toc 5"/>
    <w:basedOn w:val="1"/>
    <w:next w:val="1"/>
    <w:qFormat/>
    <w:uiPriority w:val="39"/>
    <w:pPr>
      <w:spacing w:before="0" w:after="100" w:line="259" w:lineRule="auto"/>
      <w:ind w:left="880"/>
      <w:jc w:val="left"/>
    </w:pPr>
    <w:rPr>
      <w:rFonts w:ascii="Calibri" w:hAnsi="Calibri" w:eastAsia="DengXian"/>
      <w:sz w:val="22"/>
    </w:rPr>
  </w:style>
  <w:style w:type="paragraph" w:styleId="28">
    <w:name w:val="toc 6"/>
    <w:basedOn w:val="1"/>
    <w:next w:val="1"/>
    <w:qFormat/>
    <w:uiPriority w:val="39"/>
    <w:pPr>
      <w:spacing w:before="0" w:after="100" w:line="259" w:lineRule="auto"/>
      <w:ind w:left="1100"/>
      <w:jc w:val="left"/>
    </w:pPr>
    <w:rPr>
      <w:rFonts w:ascii="Calibri" w:hAnsi="Calibri" w:eastAsia="DengXian"/>
      <w:sz w:val="22"/>
    </w:rPr>
  </w:style>
  <w:style w:type="paragraph" w:styleId="29">
    <w:name w:val="toc 7"/>
    <w:basedOn w:val="1"/>
    <w:next w:val="1"/>
    <w:qFormat/>
    <w:uiPriority w:val="39"/>
    <w:pPr>
      <w:spacing w:before="0" w:after="100" w:line="259" w:lineRule="auto"/>
      <w:ind w:left="1320"/>
      <w:jc w:val="left"/>
    </w:pPr>
    <w:rPr>
      <w:rFonts w:ascii="Calibri" w:hAnsi="Calibri" w:eastAsia="DengXian"/>
      <w:sz w:val="22"/>
    </w:rPr>
  </w:style>
  <w:style w:type="paragraph" w:styleId="30">
    <w:name w:val="toc 8"/>
    <w:basedOn w:val="1"/>
    <w:next w:val="1"/>
    <w:qFormat/>
    <w:uiPriority w:val="39"/>
    <w:pPr>
      <w:spacing w:before="0" w:after="100" w:line="259" w:lineRule="auto"/>
      <w:ind w:left="1540"/>
      <w:jc w:val="left"/>
    </w:pPr>
    <w:rPr>
      <w:rFonts w:ascii="Calibri" w:hAnsi="Calibri" w:eastAsia="DengXian"/>
      <w:sz w:val="22"/>
    </w:rPr>
  </w:style>
  <w:style w:type="paragraph" w:styleId="31">
    <w:name w:val="toc 9"/>
    <w:basedOn w:val="1"/>
    <w:next w:val="1"/>
    <w:qFormat/>
    <w:uiPriority w:val="39"/>
    <w:pPr>
      <w:spacing w:before="0" w:after="100" w:line="259" w:lineRule="auto"/>
      <w:ind w:left="1760"/>
      <w:jc w:val="left"/>
    </w:pPr>
    <w:rPr>
      <w:rFonts w:ascii="Calibri" w:hAnsi="Calibri" w:eastAsia="DengXian"/>
      <w:sz w:val="22"/>
    </w:rPr>
  </w:style>
  <w:style w:type="character" w:customStyle="1" w:styleId="32">
    <w:name w:val="Heading 1 Char"/>
    <w:basedOn w:val="8"/>
    <w:link w:val="2"/>
    <w:qFormat/>
    <w:uiPriority w:val="9"/>
    <w:rPr>
      <w:rFonts w:ascii="Times New Roman" w:hAnsi="Times New Roman" w:eastAsia="DengXian Light" w:cs="SimSun"/>
      <w:b/>
      <w:sz w:val="24"/>
      <w:szCs w:val="32"/>
    </w:rPr>
  </w:style>
  <w:style w:type="character" w:customStyle="1" w:styleId="33">
    <w:name w:val="Heading 2 Char"/>
    <w:basedOn w:val="8"/>
    <w:link w:val="3"/>
    <w:qFormat/>
    <w:uiPriority w:val="9"/>
    <w:rPr>
      <w:rFonts w:ascii="Times New Roman" w:hAnsi="Times New Roman" w:eastAsia="DengXian Light" w:cs="SimSun"/>
      <w:b/>
      <w:sz w:val="24"/>
      <w:szCs w:val="26"/>
    </w:rPr>
  </w:style>
  <w:style w:type="character" w:customStyle="1" w:styleId="34">
    <w:name w:val="Heading 3 Char"/>
    <w:basedOn w:val="8"/>
    <w:link w:val="4"/>
    <w:qFormat/>
    <w:uiPriority w:val="9"/>
    <w:rPr>
      <w:rFonts w:ascii="Times New Roman" w:hAnsi="Times New Roman" w:eastAsia="DengXian Light" w:cs="SimSun"/>
      <w:b/>
      <w:sz w:val="24"/>
      <w:szCs w:val="24"/>
    </w:rPr>
  </w:style>
  <w:style w:type="character" w:customStyle="1" w:styleId="35">
    <w:name w:val="Header Char"/>
    <w:basedOn w:val="8"/>
    <w:link w:val="18"/>
    <w:qFormat/>
    <w:uiPriority w:val="99"/>
    <w:rPr>
      <w:rFonts w:ascii="Times New Roman" w:hAnsi="Times New Roman"/>
      <w:sz w:val="24"/>
    </w:rPr>
  </w:style>
  <w:style w:type="character" w:customStyle="1" w:styleId="36">
    <w:name w:val="Footer Char"/>
    <w:basedOn w:val="8"/>
    <w:link w:val="17"/>
    <w:qFormat/>
    <w:uiPriority w:val="99"/>
    <w:rPr>
      <w:rFonts w:ascii="Times New Roman" w:hAnsi="Times New Roman"/>
      <w:sz w:val="24"/>
    </w:rPr>
  </w:style>
  <w:style w:type="character" w:customStyle="1" w:styleId="37">
    <w:name w:val="Heading 4 Char"/>
    <w:basedOn w:val="8"/>
    <w:link w:val="5"/>
    <w:qFormat/>
    <w:uiPriority w:val="9"/>
    <w:rPr>
      <w:rFonts w:ascii="Calibri Light" w:hAnsi="Calibri Light" w:eastAsia="DengXian Light" w:cs="SimSun"/>
      <w:i/>
      <w:iCs/>
      <w:color w:val="2F5597"/>
      <w:sz w:val="24"/>
    </w:rPr>
  </w:style>
  <w:style w:type="paragraph" w:styleId="38">
    <w:name w:val="List Paragraph"/>
    <w:basedOn w:val="1"/>
    <w:qFormat/>
    <w:uiPriority w:val="34"/>
    <w:pPr>
      <w:ind w:left="720"/>
      <w:contextualSpacing/>
    </w:pPr>
  </w:style>
  <w:style w:type="character" w:customStyle="1" w:styleId="39">
    <w:name w:val="Unresolved Mention"/>
    <w:basedOn w:val="8"/>
    <w:qFormat/>
    <w:uiPriority w:val="99"/>
    <w:rPr>
      <w:color w:val="605E5C"/>
      <w:shd w:val="clear" w:color="auto" w:fill="E1DFDD"/>
    </w:rPr>
  </w:style>
  <w:style w:type="character" w:customStyle="1" w:styleId="40">
    <w:name w:val="Body Text Char"/>
    <w:basedOn w:val="8"/>
    <w:link w:val="11"/>
    <w:qFormat/>
    <w:uiPriority w:val="1"/>
    <w:rPr>
      <w:rFonts w:ascii="Times New Roman" w:hAnsi="Times New Roman" w:eastAsia="Times New Roman" w:cs="Times New Roman"/>
      <w:sz w:val="24"/>
      <w:szCs w:val="24"/>
    </w:rPr>
  </w:style>
  <w:style w:type="character" w:customStyle="1" w:styleId="41">
    <w:name w:val="Heading 5 Char"/>
    <w:basedOn w:val="8"/>
    <w:link w:val="6"/>
    <w:qFormat/>
    <w:uiPriority w:val="9"/>
    <w:rPr>
      <w:rFonts w:ascii="Calibri Light" w:hAnsi="Calibri Light" w:eastAsia="DengXian Light" w:cs="SimSun"/>
      <w:color w:val="2F5597"/>
      <w:sz w:val="24"/>
    </w:rPr>
  </w:style>
  <w:style w:type="paragraph" w:customStyle="1" w:styleId="42">
    <w:name w:val="TOC Heading_bc5eb800-3a79-469a-a005-ff7fc650de0d"/>
    <w:basedOn w:val="2"/>
    <w:next w:val="1"/>
    <w:qFormat/>
    <w:uiPriority w:val="39"/>
    <w:pPr>
      <w:spacing w:line="259" w:lineRule="auto"/>
      <w:jc w:val="left"/>
      <w:outlineLvl w:val="9"/>
    </w:pPr>
    <w:rPr>
      <w:rFonts w:ascii="Calibri Light" w:hAnsi="Calibri Light"/>
      <w:b w:val="0"/>
      <w:color w:val="2F5597"/>
      <w:sz w:val="32"/>
    </w:rPr>
  </w:style>
  <w:style w:type="table" w:customStyle="1" w:styleId="43">
    <w:name w:val="Table Grid Light1"/>
    <w:basedOn w:val="9"/>
    <w:qFormat/>
    <w:uiPriority w:val="40"/>
    <w:rPr>
      <w:rFonts w:ascii="Times New Roman" w:hAnsi="Times New Roman" w:eastAsia="SimSun" w:cs="Times New Roman"/>
    </w:rPr>
    <w:tblPr>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Pr>
  </w:style>
  <w:style w:type="table" w:customStyle="1" w:styleId="44">
    <w:name w:val="Plain Table 111"/>
    <w:basedOn w:val="9"/>
    <w:qFormat/>
    <w:uiPriority w:val="41"/>
    <w:rPr>
      <w:rFonts w:ascii="Times New Roman" w:hAnsi="Times New Roman" w:eastAsia="SimSun" w:cs="Times New Roman"/>
    </w:rPr>
    <w:tblPr>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Pr>
    <w:tblStylePr w:type="firstRow">
      <w:rPr>
        <w:b/>
        <w:bCs/>
      </w:rPr>
    </w:tblStylePr>
    <w:tblStylePr w:type="lastRow">
      <w:rPr>
        <w:b/>
        <w:bCs/>
      </w:rPr>
      <w:tcPr>
        <w:tcBorders>
          <w:top w:val="double" w:color="BFBFBF" w:sz="4" w:space="0"/>
        </w:tcBorders>
      </w:tcPr>
    </w:tblStylePr>
    <w:tblStylePr w:type="firstCol">
      <w:rPr>
        <w:b/>
        <w:bCs/>
      </w:rPr>
    </w:tblStylePr>
    <w:tblStylePr w:type="lastCol">
      <w:rPr>
        <w:b/>
        <w:bCs/>
      </w:rPr>
    </w:tblStylePr>
    <w:tblStylePr w:type="band1Vert">
      <w:tcPr>
        <w:shd w:val="clear" w:color="auto" w:fill="F2F2F2"/>
      </w:tcPr>
    </w:tblStylePr>
    <w:tblStylePr w:type="band1Horz">
      <w:tcPr>
        <w:shd w:val="clear" w:color="auto" w:fill="F2F2F2"/>
      </w:tcPr>
    </w:tblStylePr>
  </w:style>
  <w:style w:type="character" w:customStyle="1" w:styleId="45">
    <w:name w:val="Comment Text Char"/>
    <w:basedOn w:val="8"/>
    <w:link w:val="14"/>
    <w:semiHidden/>
    <w:qFormat/>
    <w:uiPriority w:val="99"/>
    <w:rPr>
      <w:rFonts w:ascii="Times New Roman" w:hAnsi="Times New Roman"/>
    </w:rPr>
  </w:style>
  <w:style w:type="character" w:customStyle="1" w:styleId="46">
    <w:name w:val="Comment Subject Char"/>
    <w:basedOn w:val="45"/>
    <w:link w:val="15"/>
    <w:semiHidden/>
    <w:qFormat/>
    <w:uiPriority w:val="99"/>
    <w:rPr>
      <w:rFonts w:ascii="Times New Roman" w:hAnsi="Times New Roman"/>
      <w:b/>
      <w:bCs/>
    </w:rPr>
  </w:style>
  <w:style w:type="character" w:customStyle="1" w:styleId="47">
    <w:name w:val="Balloon Text Char"/>
    <w:basedOn w:val="8"/>
    <w:link w:val="10"/>
    <w:semiHidden/>
    <w:qFormat/>
    <w:uiPriority w:val="99"/>
    <w:rPr>
      <w:rFonts w:ascii="Segoe UI" w:hAnsi="Segoe UI" w:cs="Segoe UI"/>
      <w:sz w:val="18"/>
      <w:szCs w:val="18"/>
    </w:rPr>
  </w:style>
  <w:style w:type="table" w:customStyle="1" w:styleId="48">
    <w:name w:val="Table Grid1"/>
    <w:basedOn w:val="9"/>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4.jpeg"/><Relationship Id="rId12" Type="http://schemas.openxmlformats.org/officeDocument/2006/relationships/image" Target="media/image3.wmf"/><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FA3BD20-7CCE-4B21-999B-46081A5A3105}">
  <ds:schemaRefs/>
</ds:datastoreItem>
</file>

<file path=docProps/app.xml><?xml version="1.0" encoding="utf-8"?>
<Properties xmlns="http://schemas.openxmlformats.org/officeDocument/2006/extended-properties" xmlns:vt="http://schemas.openxmlformats.org/officeDocument/2006/docPropsVTypes">
  <Template>Normal</Template>
  <Pages>99</Pages>
  <Words>25101</Words>
  <Characters>143078</Characters>
  <Lines>1192</Lines>
  <Paragraphs>335</Paragraphs>
  <TotalTime>0</TotalTime>
  <ScaleCrop>false</ScaleCrop>
  <LinksUpToDate>false</LinksUpToDate>
  <CharactersWithSpaces>167844</CharactersWithSpaces>
  <Application>WPS Office_12.2.0.13359_F1E327BC-269C-435d-A152-05C5408002CA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2024-11-10T19:30:00Z</dcterms:created>
  <dc:creator>Fransiscko Fundi</dc:creator>
  <cp:lastModifiedBy>user</cp:lastModifiedBy>
  <dcterms:modified xsi:type="dcterms:W3CDTF">2024-11-13T09:56:19Z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1033-12.2.0.13359</vt:lpwstr>
  </property>
  <property fmtid="{D5CDD505-2E9C-101B-9397-08002B2CF9AE}" pid="3" name="ICV">
    <vt:lpwstr>4FCB96BFE2824F27842793911D0FC4F3_12</vt:lpwstr>
  </property>
</Properties>
</file>