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3883" w:rsidRPr="00C14F07" w:rsidRDefault="00833883" w:rsidP="00833883">
      <w:pPr>
        <w:spacing w:before="100" w:before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This study assessed how perceived usefulness and system integration influence </w:t>
      </w:r>
      <w:r w:rsidRPr="00F9329F">
        <w:rPr>
          <w:rFonts w:ascii="Times New Roman" w:eastAsia="Times New Roman" w:hAnsi="Times New Roman" w:cs="Times New Roman"/>
          <w:sz w:val="24"/>
          <w:szCs w:val="24"/>
        </w:rPr>
        <w:t>on Service Delivery Quality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 of Tanzania’s e-passport system within the Immigration Department, anchoring analysis in TAM2, Layne &amp; Lee’s e-Government stages,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and ICAO MRTD guidance. A mixed 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methods design was employed: a quantitative survey of </w:t>
      </w:r>
      <w:r w:rsidRPr="00C14F07">
        <w:rPr>
          <w:rFonts w:ascii="Times New Roman" w:eastAsia="Times New Roman" w:hAnsi="Times New Roman" w:cs="Times New Roman"/>
          <w:bCs/>
          <w:sz w:val="24"/>
          <w:szCs w:val="24"/>
        </w:rPr>
        <w:t>420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 e-passport applicants and qualitative interviews with </w:t>
      </w:r>
      <w:r w:rsidRPr="00C14F07">
        <w:rPr>
          <w:rFonts w:ascii="Times New Roman" w:eastAsia="Times New Roman" w:hAnsi="Times New Roman" w:cs="Times New Roman"/>
          <w:bCs/>
          <w:sz w:val="24"/>
          <w:szCs w:val="24"/>
        </w:rPr>
        <w:t>50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 immigration officers provided triangulated evidence on user perceptions, operational realities, and integration outcomes. Quantitatively, perceived usefulness (PU) correlated positively with ease of use (r = .612), system integration (r = .547), and accessibility (r = .498), all </w:t>
      </w:r>
      <w:r w:rsidRPr="00C14F07">
        <w:rPr>
          <w:rFonts w:ascii="Times New Roman" w:eastAsia="Times New Roman" w:hAnsi="Times New Roman" w:cs="Times New Roman"/>
          <w:bCs/>
          <w:sz w:val="24"/>
          <w:szCs w:val="24"/>
        </w:rPr>
        <w:t>p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 &lt; .01, ind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icating that usability and back 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end linkages jointly shape perceived value. A multiple regression model explained </w:t>
      </w:r>
      <w:r w:rsidRPr="00C14F07">
        <w:rPr>
          <w:rFonts w:ascii="Times New Roman" w:eastAsia="Times New Roman" w:hAnsi="Times New Roman" w:cs="Times New Roman"/>
          <w:bCs/>
          <w:sz w:val="24"/>
          <w:szCs w:val="24"/>
        </w:rPr>
        <w:t>46.4%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 of the variance in PU (R² = .464), with </w:t>
      </w:r>
      <w:r w:rsidRPr="00C14F07">
        <w:rPr>
          <w:rFonts w:ascii="Times New Roman" w:eastAsia="Times New Roman" w:hAnsi="Times New Roman" w:cs="Times New Roman"/>
          <w:bCs/>
          <w:sz w:val="24"/>
          <w:szCs w:val="24"/>
        </w:rPr>
        <w:t>ease of use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 the strongest predictor (β = .412), followed by </w:t>
      </w:r>
      <w:r w:rsidRPr="00C14F07">
        <w:rPr>
          <w:rFonts w:ascii="Times New Roman" w:eastAsia="Times New Roman" w:hAnsi="Times New Roman" w:cs="Times New Roman"/>
          <w:bCs/>
          <w:sz w:val="24"/>
          <w:szCs w:val="24"/>
        </w:rPr>
        <w:t>system integration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 (β = .331) and </w:t>
      </w:r>
      <w:r w:rsidRPr="00C14F07">
        <w:rPr>
          <w:rFonts w:ascii="Times New Roman" w:eastAsia="Times New Roman" w:hAnsi="Times New Roman" w:cs="Times New Roman"/>
          <w:bCs/>
          <w:sz w:val="24"/>
          <w:szCs w:val="24"/>
        </w:rPr>
        <w:t>accessibility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 (β = .229), </w:t>
      </w:r>
      <w:r w:rsidRPr="00C14F07">
        <w:rPr>
          <w:rFonts w:ascii="Times New Roman" w:eastAsia="Times New Roman" w:hAnsi="Times New Roman" w:cs="Times New Roman"/>
          <w:bCs/>
          <w:sz w:val="24"/>
          <w:szCs w:val="24"/>
        </w:rPr>
        <w:t>p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 &lt; .001. Demographic analyses showed significant associations between PU and </w:t>
      </w:r>
      <w:r w:rsidRPr="00C14F07">
        <w:rPr>
          <w:rFonts w:ascii="Times New Roman" w:eastAsia="Times New Roman" w:hAnsi="Times New Roman" w:cs="Times New Roman"/>
          <w:bCs/>
          <w:sz w:val="24"/>
          <w:szCs w:val="24"/>
        </w:rPr>
        <w:t>age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C14F07">
        <w:rPr>
          <w:rFonts w:ascii="Times New Roman" w:eastAsia="Times New Roman" w:hAnsi="Times New Roman" w:cs="Times New Roman"/>
          <w:bCs/>
          <w:sz w:val="24"/>
          <w:szCs w:val="24"/>
        </w:rPr>
        <w:t>education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, and </w:t>
      </w:r>
      <w:r w:rsidRPr="00C14F07">
        <w:rPr>
          <w:rFonts w:ascii="Times New Roman" w:eastAsia="Times New Roman" w:hAnsi="Times New Roman" w:cs="Times New Roman"/>
          <w:bCs/>
          <w:sz w:val="24"/>
          <w:szCs w:val="24"/>
        </w:rPr>
        <w:t>occupation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, while </w:t>
      </w:r>
      <w:r w:rsidRPr="00C14F07">
        <w:rPr>
          <w:rFonts w:ascii="Times New Roman" w:eastAsia="Times New Roman" w:hAnsi="Times New Roman" w:cs="Times New Roman"/>
          <w:bCs/>
          <w:sz w:val="24"/>
          <w:szCs w:val="24"/>
        </w:rPr>
        <w:t>gender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r w:rsidRPr="00C14F07">
        <w:rPr>
          <w:rFonts w:ascii="Times New Roman" w:eastAsia="Times New Roman" w:hAnsi="Times New Roman" w:cs="Times New Roman"/>
          <w:bCs/>
          <w:sz w:val="24"/>
          <w:szCs w:val="24"/>
        </w:rPr>
        <w:t>residence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 were not significant, underscoring the roles of digital familiarity and formal employment contexts. Qualitatively, officers highlighted that improved database linkages especially with </w:t>
      </w:r>
      <w:r w:rsidRPr="00C14F07">
        <w:rPr>
          <w:rFonts w:ascii="Times New Roman" w:eastAsia="Times New Roman" w:hAnsi="Times New Roman" w:cs="Times New Roman"/>
          <w:bCs/>
          <w:sz w:val="24"/>
          <w:szCs w:val="24"/>
        </w:rPr>
        <w:t>NIDA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 enhanced verification, fraud reduction, and transparency; however, network downtime, data mismatches, and limited staff training constrained performance and user experience. Overall, findings across objective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converge on three points: 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>usefulness is driven by ea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se of use and integration; 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>adoption depends on both technical design and perce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ived service quality; and 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>integration most directly lifts service delivery quality, though infrastructural constraints temper impact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The study contributes context 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>specific evidence for Tanzania’s digital governance agenda and offers actionable guidance: sustain ICT investment (network stability, data 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armonization), strengthen inter 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>agency coordination (deepening NIDA integration), and expand capacity building for frontline officers. These implications align with e-government maturity models and international interoperability 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tandards, reinforcing that back end integration and user </w:t>
      </w:r>
      <w:r w:rsidRPr="00C14F07">
        <w:rPr>
          <w:rFonts w:ascii="Times New Roman" w:eastAsia="Times New Roman" w:hAnsi="Times New Roman" w:cs="Times New Roman"/>
          <w:sz w:val="24"/>
          <w:szCs w:val="24"/>
        </w:rPr>
        <w:t xml:space="preserve">centric design are pivotal to durable adoption. </w:t>
      </w:r>
    </w:p>
    <w:p w:rsidR="00833883" w:rsidRPr="00C14F07" w:rsidRDefault="00833883" w:rsidP="00833883">
      <w:pPr>
        <w:tabs>
          <w:tab w:val="left" w:pos="142"/>
          <w:tab w:val="left" w:pos="567"/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B050"/>
          <w:sz w:val="24"/>
          <w:szCs w:val="24"/>
        </w:rPr>
      </w:pPr>
    </w:p>
    <w:p w:rsidR="00B954E8" w:rsidRDefault="00B954E8">
      <w:bookmarkStart w:id="0" w:name="_GoBack"/>
      <w:bookmarkEnd w:id="0"/>
    </w:p>
    <w:sectPr w:rsidR="00B954E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3883"/>
    <w:rsid w:val="00833883"/>
    <w:rsid w:val="00B95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B479611-5BCF-435F-A733-7F5A8D49E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3883"/>
    <w:pPr>
      <w:spacing w:after="200" w:line="276" w:lineRule="auto"/>
    </w:pPr>
    <w:rPr>
      <w:rFonts w:ascii="Cambria" w:eastAsia="MS Mincho" w:hAnsi="Cambria" w:cs="SimSu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337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2026-04-08T11:24:00Z</dcterms:created>
  <dcterms:modified xsi:type="dcterms:W3CDTF">2026-04-08T11:24:00Z</dcterms:modified>
</cp:coreProperties>
</file>