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D819B5">
      <w:pPr>
        <w:pageBreakBefore w:val="0"/>
        <w:kinsoku/>
        <w:wordWrap/>
        <w:overflowPunct/>
        <w:topLinePunct w:val="0"/>
        <w:bidi w:val="0"/>
        <w:snapToGrid/>
        <w:spacing w:beforeAutospacing="0" w:after="0" w:afterAutospacing="0" w:line="360" w:lineRule="auto"/>
        <w:jc w:val="center"/>
        <w:textAlignment w:val="auto"/>
        <w:rPr>
          <w:rFonts w:hint="default" w:ascii="Times New Roman" w:hAnsi="Times New Roman" w:cs="Times New Roman"/>
          <w:b/>
          <w:sz w:val="28"/>
          <w:szCs w:val="28"/>
          <w:lang w:val="en-US"/>
        </w:rPr>
      </w:pPr>
      <w:r>
        <w:rPr>
          <w:rFonts w:ascii="Times New Roman" w:hAnsi="Times New Roman" w:cs="Times New Roman"/>
          <w:b/>
          <w:sz w:val="28"/>
          <w:szCs w:val="28"/>
        </w:rPr>
        <w:t>INFLUENCE OF SERVICE QUALITY ON CUSTOMER SATISFACTION IN FINANCIAL INSTITUTION</w:t>
      </w:r>
      <w:r>
        <w:rPr>
          <w:rFonts w:hint="default" w:ascii="Times New Roman" w:hAnsi="Times New Roman" w:cs="Times New Roman"/>
          <w:b/>
          <w:sz w:val="28"/>
          <w:szCs w:val="28"/>
          <w:lang w:val="en-US"/>
        </w:rPr>
        <w:t>:</w:t>
      </w:r>
    </w:p>
    <w:p w14:paraId="61BC50F7">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8"/>
          <w:szCs w:val="28"/>
        </w:rPr>
      </w:pPr>
      <w:r>
        <w:rPr>
          <w:rFonts w:ascii="Times New Roman" w:hAnsi="Times New Roman" w:cs="Times New Roman"/>
          <w:b/>
          <w:sz w:val="28"/>
          <w:szCs w:val="28"/>
        </w:rPr>
        <w:t>A CASE OF CRDB BANK TEMEKE BRANCH</w:t>
      </w:r>
    </w:p>
    <w:p w14:paraId="5762190F">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8"/>
          <w:szCs w:val="28"/>
        </w:rPr>
      </w:pPr>
    </w:p>
    <w:p w14:paraId="46E63C72">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3B866880">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60F67054">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42FF4BBA">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21708311">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CATHERINE PATRICK KANYAGHA</w:t>
      </w:r>
    </w:p>
    <w:p w14:paraId="07911455">
      <w:pPr>
        <w:pageBreakBefore w:val="0"/>
        <w:kinsoku/>
        <w:wordWrap/>
        <w:overflowPunct/>
        <w:topLinePunct w:val="0"/>
        <w:bidi w:val="0"/>
        <w:snapToGrid/>
        <w:spacing w:beforeAutospacing="0" w:after="0" w:afterAutospacing="0" w:line="360" w:lineRule="auto"/>
        <w:jc w:val="center"/>
        <w:textAlignment w:val="auto"/>
        <w:rPr>
          <w:rFonts w:hint="default" w:ascii="Times New Roman" w:hAnsi="Times New Roman" w:cs="Times New Roman"/>
          <w:b/>
          <w:sz w:val="24"/>
          <w:szCs w:val="24"/>
          <w:lang w:val="en-US"/>
        </w:rPr>
      </w:pPr>
      <w:r>
        <w:rPr>
          <w:rFonts w:ascii="Times New Roman" w:hAnsi="Times New Roman" w:cs="Times New Roman"/>
          <w:b/>
          <w:sz w:val="24"/>
          <w:szCs w:val="24"/>
        </w:rPr>
        <w:t>DSM/MSC.MPR/22/10837</w:t>
      </w:r>
      <w:r>
        <w:rPr>
          <w:rFonts w:hint="default" w:ascii="Times New Roman" w:hAnsi="Times New Roman" w:cs="Times New Roman"/>
          <w:b/>
          <w:sz w:val="24"/>
          <w:szCs w:val="24"/>
          <w:lang w:val="en-US"/>
        </w:rPr>
        <w:t>7</w:t>
      </w:r>
    </w:p>
    <w:p w14:paraId="462C4E54">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46D67877">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087FD048">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456206FE">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381FCE33">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11504FD3">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49157192">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2AF0CA7B">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1BE6975E">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061C5169">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1C87068D">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660A6FCE">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3823ABFE">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726C1B68">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p>
    <w:p w14:paraId="37771476">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A dissertation submitted to the department of marketing and public relations in partial fulfillment of the requirement award of the master’s degree of marketing and public relations at Tanzania Institute of Accountancy.</w:t>
      </w:r>
    </w:p>
    <w:p w14:paraId="62F42DB7">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sz w:val="24"/>
          <w:szCs w:val="24"/>
        </w:rPr>
      </w:pPr>
    </w:p>
    <w:p w14:paraId="4DCBA733">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sz w:val="24"/>
          <w:szCs w:val="24"/>
        </w:rPr>
        <w:sectPr>
          <w:footerReference r:id="rId5" w:type="default"/>
          <w:type w:val="continuous"/>
          <w:pgSz w:w="11906" w:h="16838"/>
          <w:pgMar w:top="1440" w:right="1440" w:bottom="1440" w:left="2268" w:header="720" w:footer="720" w:gutter="0"/>
          <w:pgNumType w:fmt="lowerRoman"/>
          <w:cols w:space="0" w:num="1"/>
          <w:rtlGutter w:val="0"/>
          <w:docGrid w:linePitch="360" w:charSpace="0"/>
        </w:sectPr>
      </w:pPr>
      <w:r>
        <w:rPr>
          <w:rFonts w:ascii="Times New Roman" w:hAnsi="Times New Roman" w:cs="Times New Roman"/>
          <w:sz w:val="24"/>
          <w:szCs w:val="24"/>
        </w:rPr>
        <w:t>November, 2024</w:t>
      </w:r>
    </w:p>
    <w:p w14:paraId="3A84B726">
      <w:pPr>
        <w:pStyle w:val="2"/>
        <w:pageBreakBefore w:val="0"/>
        <w:kinsoku/>
        <w:wordWrap/>
        <w:overflowPunct/>
        <w:topLinePunct w:val="0"/>
        <w:bidi w:val="0"/>
        <w:snapToGrid/>
        <w:spacing w:before="0" w:beforeAutospacing="0" w:after="0" w:afterAutospacing="0" w:line="360" w:lineRule="auto"/>
        <w:jc w:val="center"/>
        <w:textAlignment w:val="auto"/>
        <w:rPr>
          <w:rFonts w:cs="Times New Roman"/>
          <w:b/>
        </w:rPr>
      </w:pPr>
      <w:r>
        <w:rPr>
          <w:rFonts w:cs="Times New Roman"/>
          <w:b/>
          <w:szCs w:val="24"/>
        </w:rPr>
        <w:tab/>
      </w:r>
      <w:bookmarkStart w:id="0" w:name="_Toc179081932"/>
      <w:bookmarkStart w:id="1" w:name="_Toc164612616"/>
      <w:bookmarkStart w:id="2" w:name="_Toc5494"/>
      <w:r>
        <w:rPr>
          <w:rFonts w:cs="Times New Roman"/>
          <w:b/>
          <w:color w:val="auto"/>
        </w:rPr>
        <w:t>CERTIFICATION</w:t>
      </w:r>
      <w:bookmarkEnd w:id="0"/>
      <w:bookmarkEnd w:id="1"/>
      <w:bookmarkEnd w:id="2"/>
    </w:p>
    <w:p w14:paraId="63A90D5B">
      <w:pPr>
        <w:pageBreakBefore w:val="0"/>
        <w:shd w:val="clear" w:color="auto" w:fill="FFFFFF"/>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The undersigned certifies that he has read and hereby recommends for acceptance by the </w:t>
      </w:r>
      <w:r>
        <w:rPr>
          <w:rFonts w:ascii="Times New Roman" w:hAnsi="Times New Roman" w:eastAsia="Calibri" w:cs="Times New Roman"/>
          <w:bCs/>
          <w:color w:val="000000" w:themeColor="text1"/>
          <w:sz w:val="24"/>
          <w:szCs w:val="24"/>
          <w14:textFill>
            <w14:solidFill>
              <w14:schemeClr w14:val="tx1"/>
            </w14:solidFill>
          </w14:textFill>
        </w:rPr>
        <w:t>Tanzania Institute Of Accountancy</w:t>
      </w:r>
      <w:r>
        <w:rPr>
          <w:rFonts w:ascii="Times New Roman" w:hAnsi="Times New Roman" w:eastAsia="Calibri" w:cs="Times New Roman"/>
          <w:bCs/>
          <w:i/>
          <w:color w:val="000000" w:themeColor="text1"/>
          <w:sz w:val="24"/>
          <w:szCs w:val="24"/>
          <w14:textFill>
            <w14:solidFill>
              <w14:schemeClr w14:val="tx1"/>
            </w14:solidFill>
          </w14:textFill>
        </w:rPr>
        <w:t xml:space="preserve"> </w:t>
      </w:r>
      <w:r>
        <w:rPr>
          <w:rFonts w:ascii="Times New Roman" w:hAnsi="Times New Roman" w:eastAsia="Calibri" w:cs="Times New Roman"/>
          <w:bCs/>
          <w:color w:val="000000" w:themeColor="text1"/>
          <w:sz w:val="24"/>
          <w:szCs w:val="24"/>
          <w14:textFill>
            <w14:solidFill>
              <w14:schemeClr w14:val="tx1"/>
            </w14:solidFill>
          </w14:textFill>
        </w:rPr>
        <w:t>(TIA)</w:t>
      </w:r>
      <w:r>
        <w:rPr>
          <w:rFonts w:ascii="Times New Roman" w:hAnsi="Times New Roman" w:eastAsia="Calibri" w:cs="Times New Roman"/>
          <w:bCs/>
          <w:sz w:val="24"/>
          <w:szCs w:val="24"/>
        </w:rPr>
        <w:t>a dissertation  entitled “</w:t>
      </w:r>
      <w:r>
        <w:rPr>
          <w:rFonts w:ascii="Times New Roman" w:hAnsi="Times New Roman" w:cs="Times New Roman"/>
          <w:b/>
          <w:sz w:val="24"/>
          <w:szCs w:val="24"/>
        </w:rPr>
        <w:t>The Influence Of Service Quality On Customer Satisfaction.: A Case of CRDB Bank Temeke Branch</w:t>
      </w:r>
      <w:r>
        <w:rPr>
          <w:rFonts w:ascii="Times New Roman" w:hAnsi="Times New Roman" w:eastAsia="Calibri" w:cs="Times New Roman"/>
          <w:b/>
          <w:bCs/>
          <w:i/>
          <w:sz w:val="24"/>
          <w:szCs w:val="24"/>
        </w:rPr>
        <w:t xml:space="preserve"> </w:t>
      </w:r>
      <w:r>
        <w:rPr>
          <w:rFonts w:ascii="Times New Roman" w:hAnsi="Times New Roman" w:eastAsia="Calibri" w:cs="Times New Roman"/>
          <w:bCs/>
          <w:sz w:val="24"/>
          <w:szCs w:val="24"/>
        </w:rPr>
        <w:t xml:space="preserve">“Fulfillment of the Requirements for the </w:t>
      </w:r>
      <w:r>
        <w:rPr>
          <w:rFonts w:ascii="Times New Roman" w:hAnsi="Times New Roman" w:cs="Times New Roman"/>
          <w:sz w:val="24"/>
          <w:szCs w:val="24"/>
        </w:rPr>
        <w:t xml:space="preserve">master’s degree of marketing and public relations </w:t>
      </w:r>
      <w:r>
        <w:rPr>
          <w:rFonts w:ascii="Times New Roman" w:hAnsi="Times New Roman" w:eastAsia="Calibri" w:cs="Times New Roman"/>
          <w:bCs/>
          <w:sz w:val="24"/>
          <w:szCs w:val="24"/>
        </w:rPr>
        <w:t>at the Tanzania Institute of Accountancy (TIA)</w:t>
      </w:r>
    </w:p>
    <w:p w14:paraId="162F1E86">
      <w:pPr>
        <w:pageBreakBefore w:val="0"/>
        <w:shd w:val="clear" w:color="auto" w:fill="FFFFFF"/>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Cs/>
          <w:sz w:val="24"/>
          <w:szCs w:val="24"/>
        </w:rPr>
      </w:pPr>
    </w:p>
    <w:p w14:paraId="0A6007C1">
      <w:pPr>
        <w:pageBreakBefore w:val="0"/>
        <w:shd w:val="clear" w:color="auto" w:fill="FFFFFF"/>
        <w:kinsoku/>
        <w:wordWrap/>
        <w:overflowPunct/>
        <w:topLinePunct w:val="0"/>
        <w:bidi w:val="0"/>
        <w:snapToGrid/>
        <w:spacing w:beforeAutospacing="0" w:after="0" w:afterAutospacing="0" w:line="360" w:lineRule="auto"/>
        <w:ind w:left="896"/>
        <w:textAlignment w:val="auto"/>
        <w:rPr>
          <w:rFonts w:ascii="Arial" w:hAnsi="Arial" w:eastAsia="Calibri" w:cs="Arial"/>
          <w:bCs/>
          <w:sz w:val="24"/>
          <w:szCs w:val="24"/>
        </w:rPr>
      </w:pPr>
      <w:r>
        <w:rPr>
          <w:rFonts w:ascii="Arial" w:hAnsi="Arial" w:eastAsia="Calibri" w:cs="Arial"/>
          <w:bCs/>
          <w:sz w:val="24"/>
          <w:szCs w:val="24"/>
        </w:rPr>
        <w:t xml:space="preserve">                          …………………………………………….</w:t>
      </w:r>
    </w:p>
    <w:p w14:paraId="776630A7">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sz w:val="24"/>
          <w:szCs w:val="24"/>
        </w:rPr>
      </w:pPr>
      <w:r>
        <w:rPr>
          <w:rFonts w:ascii="Times New Roman" w:hAnsi="Times New Roman" w:cs="Times New Roman"/>
          <w:sz w:val="24"/>
          <w:szCs w:val="24"/>
        </w:rPr>
        <w:t>DR. VINCENT MARAMOKO</w:t>
      </w:r>
    </w:p>
    <w:p w14:paraId="1E585089">
      <w:pPr>
        <w:pageBreakBefore w:val="0"/>
        <w:shd w:val="clear" w:color="auto" w:fill="FFFFFF"/>
        <w:kinsoku/>
        <w:wordWrap/>
        <w:overflowPunct/>
        <w:topLinePunct w:val="0"/>
        <w:bidi w:val="0"/>
        <w:snapToGrid/>
        <w:spacing w:beforeAutospacing="0" w:after="0" w:afterAutospacing="0" w:line="360" w:lineRule="auto"/>
        <w:ind w:left="896"/>
        <w:jc w:val="center"/>
        <w:textAlignment w:val="auto"/>
        <w:rPr>
          <w:rFonts w:ascii="Times New Roman" w:hAnsi="Times New Roman" w:eastAsia="Calibri" w:cs="Times New Roman"/>
          <w:bCs/>
          <w:sz w:val="24"/>
          <w:szCs w:val="24"/>
        </w:rPr>
      </w:pPr>
      <w:r>
        <w:rPr>
          <w:rFonts w:ascii="Times New Roman" w:hAnsi="Times New Roman" w:eastAsia="Calibri" w:cs="Times New Roman"/>
          <w:bCs/>
          <w:sz w:val="24"/>
          <w:szCs w:val="24"/>
        </w:rPr>
        <w:t>(Supervisor)</w:t>
      </w:r>
    </w:p>
    <w:p w14:paraId="1011D6D5">
      <w:pPr>
        <w:pageBreakBefore w:val="0"/>
        <w:shd w:val="clear" w:color="auto" w:fill="FFFFFF"/>
        <w:kinsoku/>
        <w:wordWrap/>
        <w:overflowPunct/>
        <w:topLinePunct w:val="0"/>
        <w:bidi w:val="0"/>
        <w:snapToGrid/>
        <w:spacing w:beforeAutospacing="0" w:after="0" w:afterAutospacing="0" w:line="360" w:lineRule="auto"/>
        <w:ind w:left="896"/>
        <w:jc w:val="center"/>
        <w:textAlignment w:val="auto"/>
        <w:rPr>
          <w:rFonts w:hint="default" w:ascii="Times New Roman" w:hAnsi="Times New Roman" w:eastAsia="Calibri" w:cs="Times New Roman"/>
          <w:bCs/>
          <w:sz w:val="24"/>
          <w:szCs w:val="24"/>
          <w:lang w:val="en-US"/>
        </w:rPr>
      </w:pPr>
      <w:r>
        <w:rPr>
          <w:rFonts w:hint="default" w:ascii="Times New Roman" w:hAnsi="Times New Roman" w:eastAsia="Calibri" w:cs="Times New Roman"/>
          <w:bCs/>
          <w:sz w:val="24"/>
          <w:szCs w:val="24"/>
        </w:rPr>
        <w:t xml:space="preserve"> </w:t>
      </w:r>
      <w:r>
        <w:rPr>
          <w:rFonts w:hint="default" w:ascii="Times New Roman" w:hAnsi="Times New Roman" w:eastAsia="Calibri" w:cs="Times New Roman"/>
          <w:bCs/>
          <w:sz w:val="24"/>
          <w:szCs w:val="24"/>
          <w:lang w:val="en-US"/>
        </w:rPr>
        <w:t>Date………………………………..</w:t>
      </w:r>
    </w:p>
    <w:p w14:paraId="07B4427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br w:type="page"/>
      </w:r>
    </w:p>
    <w:p w14:paraId="61CE930C">
      <w:pPr>
        <w:pStyle w:val="2"/>
        <w:pageBreakBefore w:val="0"/>
        <w:tabs>
          <w:tab w:val="center" w:pos="4680"/>
          <w:tab w:val="left" w:pos="6018"/>
        </w:tabs>
        <w:kinsoku/>
        <w:wordWrap/>
        <w:overflowPunct/>
        <w:topLinePunct w:val="0"/>
        <w:bidi w:val="0"/>
        <w:snapToGrid/>
        <w:spacing w:before="0" w:beforeAutospacing="0" w:after="0" w:afterAutospacing="0" w:line="360" w:lineRule="auto"/>
        <w:jc w:val="center"/>
        <w:textAlignment w:val="auto"/>
        <w:rPr>
          <w:rFonts w:cs="Times New Roman"/>
          <w:b/>
          <w:szCs w:val="24"/>
        </w:rPr>
      </w:pPr>
      <w:bookmarkStart w:id="3" w:name="_Toc19614"/>
      <w:r>
        <w:rPr>
          <w:rFonts w:cs="Times New Roman"/>
          <w:b/>
          <w:szCs w:val="24"/>
        </w:rPr>
        <w:t>DECLARATION</w:t>
      </w:r>
      <w:bookmarkEnd w:id="3"/>
    </w:p>
    <w:p w14:paraId="4E84B39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Cs/>
          <w:sz w:val="24"/>
          <w:szCs w:val="24"/>
        </w:rPr>
      </w:pPr>
      <w:r>
        <w:rPr>
          <w:rFonts w:ascii="Times New Roman" w:hAnsi="Times New Roman" w:eastAsia="Calibri" w:cs="Times New Roman"/>
          <w:bCs/>
          <w:sz w:val="24"/>
          <w:szCs w:val="24"/>
        </w:rPr>
        <w:t xml:space="preserve">I, </w:t>
      </w:r>
      <w:r>
        <w:rPr>
          <w:rFonts w:ascii="Times New Roman" w:hAnsi="Times New Roman" w:cs="Times New Roman"/>
          <w:b/>
          <w:sz w:val="24"/>
          <w:szCs w:val="24"/>
        </w:rPr>
        <w:t>Catherine Patrick Kanyagha</w:t>
      </w:r>
      <w:r>
        <w:rPr>
          <w:rFonts w:ascii="Times New Roman" w:hAnsi="Times New Roman" w:eastAsia="Calibri" w:cs="Times New Roman"/>
          <w:bCs/>
          <w:sz w:val="24"/>
          <w:szCs w:val="24"/>
        </w:rPr>
        <w:t xml:space="preserve"> do hereby declare that this dissertation is my original work and that; it has not been presented and will not be presented to any other higher learning institutions for a similar or another master’s degree award.</w:t>
      </w:r>
    </w:p>
    <w:p w14:paraId="2F9F39F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Cs/>
          <w:sz w:val="24"/>
          <w:szCs w:val="24"/>
        </w:rPr>
      </w:pPr>
    </w:p>
    <w:p w14:paraId="5478E99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Signature………………………..                        Date …………………………………..</w:t>
      </w:r>
    </w:p>
    <w:p w14:paraId="57FF54E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7D2BD5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631E43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9216BE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21E0FD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0A10CD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8246A4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1FDAA4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C88AD3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5EE2E4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267CA6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D1E2F8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251C7C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A5589E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A3F1D3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6F76C9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6DA257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D6A4D5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240901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EEFFF3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6236CD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29FD4B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4F4B2B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E91100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BB05A4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11448F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057BBA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171C8F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5B1AE856">
      <w:pPr>
        <w:pStyle w:val="2"/>
        <w:pageBreakBefore w:val="0"/>
        <w:kinsoku/>
        <w:wordWrap/>
        <w:overflowPunct/>
        <w:topLinePunct w:val="0"/>
        <w:bidi w:val="0"/>
        <w:snapToGrid/>
        <w:spacing w:before="0" w:beforeAutospacing="0" w:after="0" w:afterAutospacing="0" w:line="360" w:lineRule="auto"/>
        <w:jc w:val="center"/>
        <w:textAlignment w:val="auto"/>
        <w:rPr>
          <w:rFonts w:cs="Times New Roman"/>
          <w:b/>
          <w:color w:val="auto"/>
        </w:rPr>
      </w:pPr>
      <w:bookmarkStart w:id="4" w:name="_Toc164612617"/>
      <w:bookmarkStart w:id="5" w:name="_Toc25306"/>
      <w:bookmarkStart w:id="6" w:name="_Toc179081933"/>
      <w:r>
        <w:rPr>
          <w:rFonts w:cs="Times New Roman"/>
          <w:b/>
          <w:color w:val="auto"/>
        </w:rPr>
        <w:t>COPYRIGHT</w:t>
      </w:r>
      <w:bookmarkEnd w:id="4"/>
      <w:bookmarkEnd w:id="5"/>
      <w:bookmarkEnd w:id="6"/>
    </w:p>
    <w:p w14:paraId="42D4D72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kern w:val="2"/>
          <w:sz w:val="24"/>
          <w:szCs w:val="24"/>
          <w14:ligatures w14:val="standardContextual"/>
        </w:rPr>
      </w:pPr>
      <w:r>
        <w:rPr>
          <w:rFonts w:ascii="Times New Roman" w:hAnsi="Times New Roman" w:eastAsia="Calibri" w:cs="Times New Roman"/>
          <w:kern w:val="2"/>
          <w:sz w:val="24"/>
          <w:szCs w:val="24"/>
          <w14:ligatures w14:val="standardContextual"/>
        </w:rPr>
        <w:t>This dissertation  should not be produced by any means in full or in part, except in short and fair dealing for research or private study, critically scholarly review or discourse without an acknowledgement. No part of this dissertation may be produced, stored in any retrieval system or transmitted in any form such as electronic and mechanical or photocopying without prior written permission of the author or The Tanzania Institute of Accountancy (TIA).</w:t>
      </w:r>
    </w:p>
    <w:p w14:paraId="17F03B2E">
      <w:pPr>
        <w:pageBreakBefore w:val="0"/>
        <w:kinsoku/>
        <w:wordWrap/>
        <w:overflowPunct/>
        <w:topLinePunct w:val="0"/>
        <w:bidi w:val="0"/>
        <w:snapToGrid/>
        <w:spacing w:beforeAutospacing="0" w:after="0" w:afterAutospacing="0" w:line="360" w:lineRule="auto"/>
        <w:textAlignment w:val="auto"/>
        <w:rPr>
          <w:rFonts w:ascii="Times New Roman" w:hAnsi="Times New Roman" w:eastAsia="Calibri" w:cs="Times New Roman"/>
          <w:kern w:val="2"/>
          <w:sz w:val="24"/>
          <w:szCs w:val="24"/>
          <w14:ligatures w14:val="standardContextual"/>
        </w:rPr>
      </w:pPr>
      <w:r>
        <w:rPr>
          <w:rFonts w:ascii="Times New Roman" w:hAnsi="Times New Roman" w:eastAsia="Calibri" w:cs="Times New Roman"/>
          <w:kern w:val="2"/>
          <w:sz w:val="24"/>
          <w:szCs w:val="24"/>
          <w14:ligatures w14:val="standardContextual"/>
        </w:rPr>
        <w:br w:type="page"/>
      </w:r>
    </w:p>
    <w:p w14:paraId="7E5604B4">
      <w:pPr>
        <w:pStyle w:val="2"/>
        <w:pageBreakBefore w:val="0"/>
        <w:kinsoku/>
        <w:wordWrap/>
        <w:overflowPunct/>
        <w:topLinePunct w:val="0"/>
        <w:bidi w:val="0"/>
        <w:snapToGrid/>
        <w:spacing w:before="0" w:beforeAutospacing="0" w:after="0" w:afterAutospacing="0" w:line="360" w:lineRule="auto"/>
        <w:jc w:val="center"/>
        <w:textAlignment w:val="auto"/>
        <w:rPr>
          <w:rFonts w:cs="Times New Roman"/>
          <w:b/>
        </w:rPr>
      </w:pPr>
      <w:bookmarkStart w:id="7" w:name="_Toc179081934"/>
      <w:bookmarkStart w:id="8" w:name="_Toc21629"/>
      <w:r>
        <w:rPr>
          <w:rFonts w:cs="Times New Roman"/>
          <w:b/>
        </w:rPr>
        <w:t>ACKNOWLEDGMENT</w:t>
      </w:r>
      <w:bookmarkEnd w:id="7"/>
      <w:bookmarkEnd w:id="8"/>
    </w:p>
    <w:p w14:paraId="1F3D4279">
      <w:pPr>
        <w:pageBreakBefore w:val="0"/>
        <w:kinsoku/>
        <w:wordWrap/>
        <w:overflowPunct/>
        <w:topLinePunct w:val="0"/>
        <w:bidi w:val="0"/>
        <w:snapToGrid/>
        <w:spacing w:beforeAutospacing="0" w:after="0" w:afterAutospacing="0" w:line="360" w:lineRule="auto"/>
        <w:textAlignment w:val="auto"/>
        <w:rPr>
          <w:lang w:val="en-GB"/>
        </w:rPr>
      </w:pPr>
    </w:p>
    <w:p w14:paraId="007A516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The completion of this dissertation is the result of contributions from many individuals, whose efforts have been invaluable to me. While it is not possible to mention everyone by name, I would like to acknowledge the following for their significant contributions.</w:t>
      </w:r>
    </w:p>
    <w:p w14:paraId="1CE87E8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val="0"/>
          <w:bCs w:val="0"/>
          <w:sz w:val="24"/>
          <w:szCs w:val="24"/>
        </w:rPr>
      </w:pPr>
      <w:r>
        <w:rPr>
          <w:rFonts w:ascii="Times New Roman" w:hAnsi="Times New Roman" w:cs="Times New Roman"/>
          <w:b w:val="0"/>
          <w:bCs w:val="0"/>
          <w:sz w:val="24"/>
        </w:rPr>
        <w:t xml:space="preserve">First and foremost, I express my heartfelt thanks to God for His protection and guidance, which enabled me to complete this dissertation. I am also deeply grateful to my supervisor, </w:t>
      </w:r>
      <w:r>
        <w:rPr>
          <w:rFonts w:ascii="Times New Roman" w:hAnsi="Times New Roman" w:cs="Times New Roman"/>
          <w:b w:val="0"/>
          <w:bCs w:val="0"/>
          <w:sz w:val="24"/>
          <w:szCs w:val="24"/>
        </w:rPr>
        <w:t>Dr. Vincent Maramoko</w:t>
      </w:r>
      <w:r>
        <w:rPr>
          <w:rFonts w:ascii="Times New Roman" w:hAnsi="Times New Roman" w:cs="Times New Roman"/>
          <w:b w:val="0"/>
          <w:bCs w:val="0"/>
          <w:sz w:val="24"/>
        </w:rPr>
        <w:t xml:space="preserve"> for his unwavering moral support, insightful corrections, and invaluable advice throughout this process. Without his assistance, completing this research would have been challenging.</w:t>
      </w:r>
    </w:p>
    <w:p w14:paraId="09A3CFB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I extend my sincere appreciation to all my lecturers at the Tanzania Institute of Accountancy (TIA) for their commitment and support in the classroom. I am also thankful to my employer for granting me permission to pursue this Master’s degree, and to my fellow students for their cooperation during my studies. Additionally, I am grateful to all the respondents who generously took the time to participate in the survey by filling out the questionnaires.</w:t>
      </w:r>
    </w:p>
    <w:p w14:paraId="6E84800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All in all, I wish to express my gratitude to everyone who, in one way or another, contributed to the completion of this study. Although I cannot name each person individually, please know that your support has been truly appreciated.</w:t>
      </w:r>
    </w:p>
    <w:p w14:paraId="742633B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7EACD2B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717C406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0517B91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45248BF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363341D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04D6597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2955091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4B1D56F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487BBDF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4FF7422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21CE820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34C6C35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p>
    <w:p w14:paraId="2CD245E7">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9" w:name="_Toc27712"/>
      <w:r>
        <w:rPr>
          <w:b/>
        </w:rPr>
        <w:t>ABSTRACT</w:t>
      </w:r>
      <w:bookmarkEnd w:id="9"/>
    </w:p>
    <w:p w14:paraId="588CED3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This study explores the impact of service quality on customer satisfaction in financial institutions, focusing specifically on CRDB Bank's Temeke branch. It investigates the roles of disconfirmation of belief, expectations, and perceived performance in shaping customer satisfaction, with a particular interest in how these elements align with customer experiences. Through survey analysis, the study identifies key customer engagement trends, such as a high frequency of weekly visits to the bank, and notes a strong response rate of 85.7%, indicating the importance of consistent, high-quality in-person services for maintaining customer satisfaction</w:t>
      </w:r>
    </w:p>
    <w:p w14:paraId="7EA82DF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Demographic data reveals a balanced gender distribution, with a slight majority of female respondents, and a predominantly older customer base. This composition suggests variations in satisfaction and service expectations by age and gender, as older customers may have distinct service expectations due to longer-standing relationships with the bank. Tailoring service strategies to these demographic distinctions is essential for meeting the unique needs of different customer groups, fostering satisfaction and enhancing loyalty</w:t>
      </w:r>
    </w:p>
    <w:p w14:paraId="1006AB21">
      <w:pPr>
        <w:keepNext w:val="0"/>
        <w:keepLines w:val="0"/>
        <w:pageBreakBefore w:val="0"/>
        <w:widowControl/>
        <w:kinsoku/>
        <w:wordWrap/>
        <w:overflowPunct/>
        <w:topLinePunct w:val="0"/>
        <w:autoSpaceDE/>
        <w:autoSpaceDN/>
        <w:bidi w:val="0"/>
        <w:adjustRightInd/>
        <w:snapToGrid/>
        <w:spacing w:before="240"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rPr>
        <w:t>The analysis of disconfirmation of belief shows a significant gap between customer expectations and perceived service quality, with many respondents reporting neutral or negative satisfaction levels. A positive correlation between disconfirmation of belief and expectation highlights that meeting or exceeding customer expectations can improve satisfaction. However, the negative correlation between disconfirmation of belief and perceived performance suggests that unmet service expectations can diminish customer satisfaction. These findings emphasize the need for CRDB Bank to bridge gaps in service delivery to meet customer expectations better, underscoring the broader importance for financial institutions to enhance service quality through customer engagement, tailored services, and employee training.</w:t>
      </w:r>
      <w:r>
        <w:rPr>
          <w:rFonts w:ascii="Times New Roman" w:hAnsi="Times New Roman" w:cs="Times New Roman"/>
          <w:sz w:val="24"/>
          <w:szCs w:val="24"/>
        </w:rPr>
        <w:br w:type="page"/>
      </w:r>
    </w:p>
    <w:sdt>
      <w:sdtPr>
        <w:rPr>
          <w:rFonts w:asciiTheme="minorHAnsi" w:hAnsiTheme="minorHAnsi" w:eastAsiaTheme="minorHAnsi" w:cstheme="minorBidi"/>
          <w:color w:val="auto"/>
          <w:sz w:val="22"/>
          <w:szCs w:val="22"/>
        </w:rPr>
        <w:id w:val="-1209803498"/>
        <w:docPartObj>
          <w:docPartGallery w:val="Table of Contents"/>
          <w:docPartUnique/>
        </w:docPartObj>
      </w:sdtPr>
      <w:sdtEndPr>
        <w:rPr>
          <w:rFonts w:asciiTheme="minorHAnsi" w:hAnsiTheme="minorHAnsi" w:eastAsiaTheme="minorHAnsi" w:cstheme="minorBidi"/>
          <w:b/>
          <w:bCs/>
          <w:color w:val="auto"/>
          <w:sz w:val="22"/>
          <w:szCs w:val="22"/>
        </w:rPr>
      </w:sdtEndPr>
      <w:sdtContent>
        <w:p w14:paraId="7F9FF1F5">
          <w:pPr>
            <w:pStyle w:val="19"/>
            <w:pageBreakBefore w:val="0"/>
            <w:widowControl/>
            <w:kinsoku/>
            <w:wordWrap/>
            <w:overflowPunct/>
            <w:topLinePunct w:val="0"/>
            <w:autoSpaceDE/>
            <w:autoSpaceDN/>
            <w:bidi w:val="0"/>
            <w:adjustRightInd/>
            <w:snapToGrid/>
            <w:spacing w:before="0" w:beforeAutospacing="0" w:after="0" w:afterAutospacing="0" w:line="360" w:lineRule="auto"/>
            <w:jc w:val="center"/>
            <w:textAlignment w:val="auto"/>
            <w:rPr>
              <w:rFonts w:hint="default" w:ascii="Times New Roman" w:hAnsi="Times New Roman" w:cs="Times New Roman"/>
              <w:b/>
              <w:sz w:val="24"/>
              <w:szCs w:val="24"/>
            </w:rPr>
          </w:pPr>
          <w:r>
            <w:rPr>
              <w:rFonts w:hint="default" w:ascii="Times New Roman" w:hAnsi="Times New Roman" w:cs="Times New Roman"/>
              <w:b/>
              <w:sz w:val="24"/>
              <w:szCs w:val="24"/>
            </w:rPr>
            <w:t>TABLE OF CONTENTS</w:t>
          </w:r>
        </w:p>
        <w:p w14:paraId="69E34AB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color w:val="000000" w:themeColor="text1"/>
              <w:sz w:val="24"/>
              <w:szCs w:val="24"/>
              <w14:textFill>
                <w14:solidFill>
                  <w14:schemeClr w14:val="tx1"/>
                </w14:solidFill>
              </w14:textFill>
            </w:rPr>
            <w:instrText xml:space="preserve"> TOC \o "1-3" \h \z \u </w:instrText>
          </w:r>
          <w:r>
            <w:rPr>
              <w:rFonts w:hint="default" w:ascii="Times New Roman" w:hAnsi="Times New Roman" w:cs="Times New Roman"/>
              <w:color w:val="000000" w:themeColor="text1"/>
              <w:sz w:val="24"/>
              <w:szCs w:val="24"/>
              <w14:textFill>
                <w14:solidFill>
                  <w14:schemeClr w14:val="tx1"/>
                </w14:solidFill>
              </w14:textFill>
            </w:rPr>
            <w:fldChar w:fldCharType="separate"/>
          </w:r>
          <w:r>
            <w:rPr>
              <w:rFonts w:hint="default" w:ascii="Times New Roman" w:hAnsi="Times New Roman" w:cs="Times New Roman"/>
              <w:color w:val="000000" w:themeColor="text1"/>
              <w:sz w:val="24"/>
              <w:szCs w:val="24"/>
              <w14:textFill>
                <w14:solidFill>
                  <w14:schemeClr w14:val="tx1"/>
                </w14:solidFill>
              </w14:textFill>
            </w:rPr>
            <w:fldChar w:fldCharType="begin"/>
          </w:r>
          <w:r>
            <w:rPr>
              <w:rFonts w:hint="default" w:ascii="Times New Roman" w:hAnsi="Times New Roman" w:cs="Times New Roman"/>
              <w:sz w:val="24"/>
              <w:szCs w:val="24"/>
            </w:rPr>
            <w:instrText xml:space="preserve"> HYPERLINK \l _Toc5494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CERTIFICATION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_Toc5494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i</w:t>
          </w:r>
          <w:r>
            <w:rPr>
              <w:rFonts w:hint="default" w:ascii="Times New Roman" w:hAnsi="Times New Roman" w:cs="Times New Roman"/>
              <w:sz w:val="24"/>
              <w:szCs w:val="24"/>
            </w:rPr>
            <w:fldChar w:fldCharType="end"/>
          </w:r>
          <w:r>
            <w:rPr>
              <w:rFonts w:hint="default" w:ascii="Times New Roman" w:hAnsi="Times New Roman" w:cs="Times New Roman"/>
              <w:color w:val="000000" w:themeColor="text1"/>
              <w:sz w:val="24"/>
              <w:szCs w:val="24"/>
              <w14:textFill>
                <w14:solidFill>
                  <w14:schemeClr w14:val="tx1"/>
                </w14:solidFill>
              </w14:textFill>
            </w:rPr>
            <w:fldChar w:fldCharType="end"/>
          </w:r>
        </w:p>
        <w:p w14:paraId="2159AA5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_Toc19614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DECLARATION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_Toc19614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ii</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67FB5C4">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_Toc25306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COPYRIGHT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_Toc25306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iii</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91F2CAB">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_Toc21629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ACKNOWLEDGMENT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_Toc21629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iv</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37D92B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_Toc27712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ABSTRACT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_Toc27712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v</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0416A22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_Toc482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LIST OF TABLES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_Toc482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ix</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6B15115A">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_Toc360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LIST OF FIGURES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_Toc360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x</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A55E12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_Toc31747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LIST OF ABBRIVIATIONS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_Toc31747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xi</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2852148">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_Toc12636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CHAPTER ONE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_Toc12636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699DB4F3">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_Toc12226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1.0 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_Toc12226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5C83CB0">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_Toc28527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1.2 statement of the problem</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_Toc28527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1BD34B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_Toc32055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1.3.1 Specific objectives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_Toc32055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544D66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_Toc13604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1.4.1 Specific research questions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_Toc13604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2EB8C74">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_Toc21117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1.5 Justifications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_Toc21117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160AF80">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_Toc12355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1.6 Scope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_Toc12355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8975F78">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_Toc9710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1.7 Significance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_Toc9710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8755FFA">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_Toc18090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CHAPTER TWO</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_Toc18090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B9C5BFA">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_Toc4911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LITERATURE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_Toc4911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0FECE1FB">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_Toc17824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2.0 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_Toc17824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6DAA317">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_Toc14786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2.1 Theoretical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_Toc14786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48687D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_Toc171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2.1.1 Definition of key term</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6A59A0A2">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_Toc12532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2.1.2 Customer satisfaction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_Toc12532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0909E2BF">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_Toc1086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2.2.2 Service quality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_Toc1086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06AD68F">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_Toc17501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2.2.3 Customer expectations.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_Toc17501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197F9E3">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_Toc25278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2.2.4 Perceived performance.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_Toc25278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D35511A">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_Toc1360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2.2.5 Disconfirmation of beliefs.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_Toc1360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BE74E4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_Toc5797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2.2.1 Empirical literature review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_Toc5797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CF20FCF">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_Toc24820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2.2.2 Service quality toward customer satisfaction.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_Toc24820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7</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A7CC06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_Toc2769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2.2.3 Perceived performance toward satisfaction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_Toc2769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8</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10DA4DB">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_Toc10191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2.2.4 Expectations toward satisfactions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_Toc10191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9</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7F5E37A">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_Toc8771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2.2.5 Disconfirmation toward satisfaction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_Toc8771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30E7AC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_Toc6929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2.3 Theoretical framework or research models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_Toc6929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048CC0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_Toc8918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2.4 conceptual framework</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_Toc8918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10</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E9E4A7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_Toc29928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2.5 Research gap</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_Toc29928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17C39E2">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_Toc17084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CHAPTER THREE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_Toc17084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C1C37A2">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_Toc19606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RESEARCH METHODOLOGY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_Toc19606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32B92E9">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_Toc22202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3.0 INTRODUCTION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_Toc22202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721B9EE">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_Toc31783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3.1 Study Area</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_Toc31783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3F00227">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_Toc20353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3.2 Research design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_Toc20353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7CE0920">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_Toc7423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3.3 Research Approach</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_Toc7423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0880D6D">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_Toc26263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3.3.1 Target Population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_Toc26263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D31904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_Toc6540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3.3.2 Sampling Strategies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_Toc6540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334F402">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_Toc8100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3.3.3 Sampling size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_Toc8100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06E2DDE">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_Toc1511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3.3.4 Data collection methods/ Data sources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_Toc1511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15</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4B68C7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_Toc10538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3.5 Data processing and analysis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_Toc10538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93C6951">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_Toc15918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3.6 Measure validity and reliability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_Toc15918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8A12F4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_Toc16363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3.6.1 Credibility (internal validity)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_Toc16363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716E91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_Toc205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3.6.2 Transferability (external validity)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_Toc205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C11F9E4">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_Toc4743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3.6.3 Dependability (reliability)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_Toc4743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C319972">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_Toc11299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3.6.4 Confirmability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_Toc11299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962D278">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_Toc20259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3.7 Ethical considerations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_Toc20259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17</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0397D48">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_Toc16921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CHAPTER FOUR</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_Toc16921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19</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C1C7FB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_Toc4875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DATA PRESENTATION AND DISCUSSION OF FINDINGS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_Toc4875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19</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0D59C89">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_Toc10660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4.0 Chapter Overview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_Toc10660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19</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295984D">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_Toc29878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4.1 Response Rate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_Toc29878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20</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6D56A5B">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_Toc9562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4.2 Demographic Characteristics of Respondents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_Toc9562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60773E8F">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_Toc25235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4.2.1 Sex of respondents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_Toc25235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FB6DF87">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_Toc28525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4.2.2 Age of respondents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_Toc28525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5B20DF2">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_Toc9600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4.2.4 Frequency of visiting CRDB bank</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_Toc9600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C28D67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_Toc11986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4.3 The influence of disconfirmation of belief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_Toc11986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22AC4A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_Toc3051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4.3.1 The influence of disconfirmation of belief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_Toc3051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AAD7BE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_Toc22115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4.3.2 The  influence of expectation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_Toc22115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30</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0734F1A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_Toc10975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4.3.3 The influence of perceived performance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_Toc10975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9822747">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_Toc17972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CHAPTER FIVE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_Toc17972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19F4E87">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_Toc19594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CONCLUSION AND RECOMMENDATIONS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_Toc19594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FB965A9">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_Toc2169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5.0 Chapter overview</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_Toc2169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A69D40E">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_Toc8201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5.1 Summary</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_Toc8201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31DEC0F">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_Toc3756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5.2 Conclusion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_Toc3756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42</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4A3B323C">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_Toc7292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5.3 Recommendations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_Toc7292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43</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296C954A">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_Toc14548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5.4 Policy implication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_Toc14548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2E160B6">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_Toc22947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5.5 Areas for Further studies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_Toc22947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639E13E">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_Toc32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References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46</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DBE2DE1">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_Toc29343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APPENDICES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_Toc29343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49</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674A98FE">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_Toc10030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APPENDIX 1: QUESTIONNAIRE TOOLS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_Toc10030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49</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767D1C75">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_Toc27535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APPENDIX II: Interview guide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_Toc27535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51</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141058D0">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_Toc9654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RESEARCH SCHEDULE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_Toc9654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52</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3302E47B">
          <w:pPr>
            <w:pStyle w:val="15"/>
            <w:pageBreakBefore w:val="0"/>
            <w:widowControl/>
            <w:tabs>
              <w:tab w:val="right" w:leader="dot" w:pos="8198"/>
            </w:tabs>
            <w:kinsoku/>
            <w:wordWrap/>
            <w:overflowPunct/>
            <w:topLinePunct w:val="0"/>
            <w:autoSpaceDE/>
            <w:autoSpaceDN/>
            <w:bidi w:val="0"/>
            <w:adjustRightInd/>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bCs/>
              <w:color w:val="000000" w:themeColor="text1"/>
              <w:sz w:val="24"/>
              <w:szCs w:val="24"/>
              <w14:textFill>
                <w14:solidFill>
                  <w14:schemeClr w14:val="tx1"/>
                </w14:solidFill>
              </w14:textFill>
            </w:rPr>
            <w:fldChar w:fldCharType="begin"/>
          </w:r>
          <w:r>
            <w:rPr>
              <w:rFonts w:hint="default" w:ascii="Times New Roman" w:hAnsi="Times New Roman" w:cs="Times New Roman"/>
              <w:bCs/>
              <w:sz w:val="24"/>
              <w:szCs w:val="24"/>
            </w:rPr>
            <w:instrText xml:space="preserve"> HYPERLINK \l _Toc6418 </w:instrText>
          </w:r>
          <w:r>
            <w:rPr>
              <w:rFonts w:hint="default" w:ascii="Times New Roman" w:hAnsi="Times New Roman" w:cs="Times New Roman"/>
              <w:bCs/>
              <w:sz w:val="24"/>
              <w:szCs w:val="24"/>
            </w:rPr>
            <w:fldChar w:fldCharType="separate"/>
          </w:r>
          <w:r>
            <w:rPr>
              <w:rFonts w:hint="default" w:ascii="Times New Roman" w:hAnsi="Times New Roman" w:cs="Times New Roman"/>
              <w:sz w:val="24"/>
              <w:szCs w:val="24"/>
            </w:rPr>
            <w:t>RESEARCH BUDGET</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_Toc6418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54</w:t>
          </w:r>
          <w:r>
            <w:rPr>
              <w:rFonts w:hint="default" w:ascii="Times New Roman" w:hAnsi="Times New Roman" w:cs="Times New Roman"/>
              <w:sz w:val="24"/>
              <w:szCs w:val="24"/>
            </w:rPr>
            <w:fldChar w:fldCharType="end"/>
          </w:r>
          <w:r>
            <w:rPr>
              <w:rFonts w:hint="default" w:ascii="Times New Roman" w:hAnsi="Times New Roman" w:cs="Times New Roman"/>
              <w:bCs/>
              <w:color w:val="000000" w:themeColor="text1"/>
              <w:sz w:val="24"/>
              <w:szCs w:val="24"/>
              <w14:textFill>
                <w14:solidFill>
                  <w14:schemeClr w14:val="tx1"/>
                </w14:solidFill>
              </w14:textFill>
            </w:rPr>
            <w:fldChar w:fldCharType="end"/>
          </w:r>
        </w:p>
        <w:p w14:paraId="5DFC33ED">
          <w:pPr>
            <w:pStyle w:val="15"/>
            <w:pageBreakBefore w:val="0"/>
            <w:widowControl/>
            <w:tabs>
              <w:tab w:val="right" w:leader="dot" w:pos="9350"/>
            </w:tabs>
            <w:kinsoku/>
            <w:wordWrap/>
            <w:overflowPunct/>
            <w:topLinePunct w:val="0"/>
            <w:autoSpaceDE/>
            <w:autoSpaceDN/>
            <w:bidi w:val="0"/>
            <w:adjustRightInd/>
            <w:snapToGrid/>
            <w:spacing w:beforeAutospacing="0" w:after="0" w:afterAutospacing="0" w:line="360" w:lineRule="auto"/>
            <w:textAlignment w:val="auto"/>
            <w:rPr>
              <w:rFonts w:ascii="Times New Roman" w:hAnsi="Times New Roman" w:cs="Times New Roman" w:eastAsiaTheme="minorEastAsia"/>
              <w:sz w:val="24"/>
              <w:szCs w:val="24"/>
            </w:rPr>
            <w:sectPr>
              <w:footerReference r:id="rId6" w:type="default"/>
              <w:pgSz w:w="11906" w:h="16838"/>
              <w:pgMar w:top="1440" w:right="1440" w:bottom="1440" w:left="2268" w:header="720" w:footer="720" w:gutter="0"/>
              <w:pgNumType w:fmt="lowerRoman" w:start="1"/>
              <w:cols w:space="0" w:num="1"/>
              <w:rtlGutter w:val="0"/>
              <w:docGrid w:linePitch="360" w:charSpace="0"/>
            </w:sectPr>
          </w:pPr>
          <w:r>
            <w:rPr>
              <w:rFonts w:hint="default" w:ascii="Times New Roman" w:hAnsi="Times New Roman" w:cs="Times New Roman"/>
              <w:bCs/>
              <w:color w:val="000000" w:themeColor="text1"/>
              <w:sz w:val="24"/>
              <w:szCs w:val="24"/>
              <w14:textFill>
                <w14:solidFill>
                  <w14:schemeClr w14:val="tx1"/>
                </w14:solidFill>
              </w14:textFill>
            </w:rPr>
            <w:fldChar w:fldCharType="end"/>
          </w:r>
        </w:p>
      </w:sdtContent>
    </w:sdt>
    <w:p w14:paraId="6460E199">
      <w:pPr>
        <w:pageBreakBefore w:val="0"/>
        <w:kinsoku/>
        <w:wordWrap/>
        <w:overflowPunct/>
        <w:topLinePunct w:val="0"/>
        <w:bidi w:val="0"/>
        <w:snapToGrid/>
        <w:spacing w:beforeAutospacing="0" w:after="0" w:afterAutospacing="0" w:line="360" w:lineRule="auto"/>
        <w:textAlignment w:val="auto"/>
      </w:pPr>
      <w:r>
        <w:br w:type="page"/>
      </w:r>
    </w:p>
    <w:p w14:paraId="110D18A8">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10" w:name="_Toc482"/>
      <w:r>
        <w:rPr>
          <w:b/>
        </w:rPr>
        <w:t>LIST OF TABLES</w:t>
      </w:r>
      <w:bookmarkEnd w:id="10"/>
    </w:p>
    <w:p w14:paraId="4EAA7A5D">
      <w:pPr>
        <w:pageBreakBefore w:val="0"/>
        <w:kinsoku/>
        <w:wordWrap/>
        <w:overflowPunct/>
        <w:topLinePunct w:val="0"/>
        <w:bidi w:val="0"/>
        <w:snapToGrid/>
        <w:spacing w:beforeAutospacing="0" w:after="0" w:afterAutospacing="0" w:line="360" w:lineRule="auto"/>
        <w:textAlignment w:val="auto"/>
      </w:pPr>
    </w:p>
    <w:p w14:paraId="003D97B0">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eastAsia="Times New Roman" w:cs="Times New Roman"/>
          <w:color w:val="000000"/>
          <w:kern w:val="32"/>
          <w:sz w:val="24"/>
          <w:szCs w:val="24"/>
        </w:rPr>
        <w:fldChar w:fldCharType="begin"/>
      </w:r>
      <w:r>
        <w:rPr>
          <w:rFonts w:hint="default" w:ascii="Times New Roman" w:hAnsi="Times New Roman" w:cs="Times New Roman"/>
          <w:color w:val="000000"/>
          <w:sz w:val="24"/>
          <w:szCs w:val="24"/>
        </w:rPr>
        <w:instrText xml:space="preserve"> TOC \h \z \t "Caption" \c </w:instrText>
      </w:r>
      <w:r>
        <w:rPr>
          <w:rFonts w:hint="default" w:ascii="Times New Roman" w:hAnsi="Times New Roman" w:eastAsia="Times New Roman" w:cs="Times New Roman"/>
          <w:color w:val="000000"/>
          <w:kern w:val="32"/>
          <w:sz w:val="24"/>
          <w:szCs w:val="24"/>
        </w:rPr>
        <w:fldChar w:fldCharType="separate"/>
      </w:r>
      <w:r>
        <w:rPr>
          <w:rFonts w:hint="default" w:ascii="Times New Roman" w:hAnsi="Times New Roman" w:eastAsia="Times New Roman" w:cs="Times New Roman"/>
          <w:color w:val="000000"/>
          <w:kern w:val="32"/>
          <w:sz w:val="24"/>
          <w:szCs w:val="24"/>
        </w:rPr>
        <w:fldChar w:fldCharType="begin"/>
      </w:r>
      <w:r>
        <w:rPr>
          <w:rFonts w:hint="default" w:ascii="Times New Roman" w:hAnsi="Times New Roman" w:eastAsia="Times New Roman" w:cs="Times New Roman"/>
          <w:kern w:val="32"/>
          <w:sz w:val="24"/>
          <w:szCs w:val="24"/>
        </w:rPr>
        <w:instrText xml:space="preserve"> HYPERLINK \l _Toc3908 </w:instrText>
      </w:r>
      <w:r>
        <w:rPr>
          <w:rFonts w:hint="default" w:ascii="Times New Roman" w:hAnsi="Times New Roman" w:eastAsia="Times New Roman" w:cs="Times New Roman"/>
          <w:kern w:val="32"/>
          <w:sz w:val="24"/>
          <w:szCs w:val="24"/>
        </w:rPr>
        <w:fldChar w:fldCharType="separate"/>
      </w:r>
      <w:r>
        <w:rPr>
          <w:rFonts w:hint="default" w:ascii="Times New Roman" w:hAnsi="Times New Roman" w:cs="Times New Roman"/>
          <w:sz w:val="24"/>
          <w:szCs w:val="24"/>
        </w:rPr>
        <w:t>Table 4.1: Response Rate</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_Toc3908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23</w:t>
      </w:r>
      <w:r>
        <w:rPr>
          <w:rFonts w:hint="default" w:ascii="Times New Roman" w:hAnsi="Times New Roman" w:cs="Times New Roman"/>
          <w:sz w:val="24"/>
          <w:szCs w:val="24"/>
        </w:rPr>
        <w:fldChar w:fldCharType="end"/>
      </w:r>
      <w:r>
        <w:rPr>
          <w:rFonts w:hint="default" w:ascii="Times New Roman" w:hAnsi="Times New Roman" w:eastAsia="Times New Roman" w:cs="Times New Roman"/>
          <w:color w:val="000000"/>
          <w:kern w:val="32"/>
          <w:sz w:val="24"/>
          <w:szCs w:val="24"/>
        </w:rPr>
        <w:fldChar w:fldCharType="end"/>
      </w:r>
    </w:p>
    <w:p w14:paraId="69B3F22A">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sz w:val="24"/>
          <w:szCs w:val="24"/>
        </w:rPr>
        <w:fldChar w:fldCharType="begin"/>
      </w:r>
      <w:r>
        <w:rPr>
          <w:rFonts w:hint="default" w:ascii="Times New Roman" w:hAnsi="Times New Roman" w:cs="Times New Roman"/>
          <w:sz w:val="24"/>
          <w:szCs w:val="24"/>
        </w:rPr>
        <w:instrText xml:space="preserve"> HYPERLINK \l _Toc8202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Table 4.4: Frequency of visiting the bank</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_Toc8202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25</w:t>
      </w:r>
      <w:r>
        <w:rPr>
          <w:rFonts w:hint="default" w:ascii="Times New Roman" w:hAnsi="Times New Roman" w:cs="Times New Roman"/>
          <w:sz w:val="24"/>
          <w:szCs w:val="24"/>
        </w:rPr>
        <w:fldChar w:fldCharType="end"/>
      </w:r>
      <w:r>
        <w:rPr>
          <w:rFonts w:hint="default" w:ascii="Times New Roman" w:hAnsi="Times New Roman" w:cs="Times New Roman"/>
          <w:color w:val="000000"/>
          <w:sz w:val="24"/>
          <w:szCs w:val="24"/>
        </w:rPr>
        <w:fldChar w:fldCharType="end"/>
      </w:r>
    </w:p>
    <w:p w14:paraId="09BFFDEE">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sz w:val="24"/>
          <w:szCs w:val="24"/>
        </w:rPr>
        <w:fldChar w:fldCharType="begin"/>
      </w:r>
      <w:r>
        <w:rPr>
          <w:rFonts w:hint="default" w:ascii="Times New Roman" w:hAnsi="Times New Roman" w:cs="Times New Roman"/>
          <w:sz w:val="24"/>
          <w:szCs w:val="24"/>
        </w:rPr>
        <w:instrText xml:space="preserve"> HYPERLINK \l _Toc2838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Table 4.5:  The influence of disconfirmation of belief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_Toc2838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27</w:t>
      </w:r>
      <w:r>
        <w:rPr>
          <w:rFonts w:hint="default" w:ascii="Times New Roman" w:hAnsi="Times New Roman" w:cs="Times New Roman"/>
          <w:sz w:val="24"/>
          <w:szCs w:val="24"/>
        </w:rPr>
        <w:fldChar w:fldCharType="end"/>
      </w:r>
      <w:r>
        <w:rPr>
          <w:rFonts w:hint="default" w:ascii="Times New Roman" w:hAnsi="Times New Roman" w:cs="Times New Roman"/>
          <w:color w:val="000000"/>
          <w:sz w:val="24"/>
          <w:szCs w:val="24"/>
        </w:rPr>
        <w:fldChar w:fldCharType="end"/>
      </w:r>
    </w:p>
    <w:p w14:paraId="35129F84">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sz w:val="24"/>
          <w:szCs w:val="24"/>
        </w:rPr>
        <w:fldChar w:fldCharType="begin"/>
      </w:r>
      <w:r>
        <w:rPr>
          <w:rFonts w:hint="default" w:ascii="Times New Roman" w:hAnsi="Times New Roman" w:cs="Times New Roman"/>
          <w:sz w:val="24"/>
          <w:szCs w:val="24"/>
        </w:rPr>
        <w:instrText xml:space="preserve"> HYPERLINK \l _Toc17737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Table 4.6: The influence of expectation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_Toc17737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31</w:t>
      </w:r>
      <w:r>
        <w:rPr>
          <w:rFonts w:hint="default" w:ascii="Times New Roman" w:hAnsi="Times New Roman" w:cs="Times New Roman"/>
          <w:sz w:val="24"/>
          <w:szCs w:val="24"/>
        </w:rPr>
        <w:fldChar w:fldCharType="end"/>
      </w:r>
      <w:r>
        <w:rPr>
          <w:rFonts w:hint="default" w:ascii="Times New Roman" w:hAnsi="Times New Roman" w:cs="Times New Roman"/>
          <w:color w:val="000000"/>
          <w:sz w:val="24"/>
          <w:szCs w:val="24"/>
        </w:rPr>
        <w:fldChar w:fldCharType="end"/>
      </w:r>
    </w:p>
    <w:p w14:paraId="7E76DB92">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sz w:val="24"/>
          <w:szCs w:val="24"/>
        </w:rPr>
        <w:fldChar w:fldCharType="begin"/>
      </w:r>
      <w:r>
        <w:rPr>
          <w:rFonts w:hint="default" w:ascii="Times New Roman" w:hAnsi="Times New Roman" w:cs="Times New Roman"/>
          <w:sz w:val="24"/>
          <w:szCs w:val="24"/>
        </w:rPr>
        <w:instrText xml:space="preserve"> HYPERLINK \l _Toc27231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Table 4.7:  The influence of Disconfirmation beliefs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_Toc27231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33</w:t>
      </w:r>
      <w:r>
        <w:rPr>
          <w:rFonts w:hint="default" w:ascii="Times New Roman" w:hAnsi="Times New Roman" w:cs="Times New Roman"/>
          <w:sz w:val="24"/>
          <w:szCs w:val="24"/>
        </w:rPr>
        <w:fldChar w:fldCharType="end"/>
      </w:r>
      <w:r>
        <w:rPr>
          <w:rFonts w:hint="default" w:ascii="Times New Roman" w:hAnsi="Times New Roman" w:cs="Times New Roman"/>
          <w:color w:val="000000"/>
          <w:sz w:val="24"/>
          <w:szCs w:val="24"/>
        </w:rPr>
        <w:fldChar w:fldCharType="end"/>
      </w:r>
    </w:p>
    <w:p w14:paraId="59C032CA">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sz w:val="24"/>
          <w:szCs w:val="24"/>
        </w:rPr>
        <w:fldChar w:fldCharType="begin"/>
      </w:r>
      <w:r>
        <w:rPr>
          <w:rFonts w:hint="default" w:ascii="Times New Roman" w:hAnsi="Times New Roman" w:cs="Times New Roman"/>
          <w:sz w:val="24"/>
          <w:szCs w:val="24"/>
        </w:rPr>
        <w:instrText xml:space="preserve"> HYPERLINK \l _Toc28414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Table 4.8: The influence of perceived performance on customer satisfaction in financial institution</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_Toc28414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36</w:t>
      </w:r>
      <w:r>
        <w:rPr>
          <w:rFonts w:hint="default" w:ascii="Times New Roman" w:hAnsi="Times New Roman" w:cs="Times New Roman"/>
          <w:sz w:val="24"/>
          <w:szCs w:val="24"/>
        </w:rPr>
        <w:fldChar w:fldCharType="end"/>
      </w:r>
      <w:r>
        <w:rPr>
          <w:rFonts w:hint="default" w:ascii="Times New Roman" w:hAnsi="Times New Roman" w:cs="Times New Roman"/>
          <w:color w:val="000000"/>
          <w:sz w:val="24"/>
          <w:szCs w:val="24"/>
        </w:rPr>
        <w:fldChar w:fldCharType="end"/>
      </w:r>
    </w:p>
    <w:p w14:paraId="3EAA9591">
      <w:pPr>
        <w:pStyle w:val="14"/>
        <w:pageBreakBefore w:val="0"/>
        <w:tabs>
          <w:tab w:val="right" w:leader="dot" w:pos="8198"/>
        </w:tabs>
        <w:kinsoku/>
        <w:wordWrap/>
        <w:overflowPunct/>
        <w:topLinePunct w:val="0"/>
        <w:bidi w:val="0"/>
        <w:snapToGrid/>
        <w:spacing w:beforeAutospacing="0" w:after="0" w:afterAutospacing="0" w:line="360" w:lineRule="auto"/>
        <w:textAlignment w:val="auto"/>
        <w:rPr>
          <w:rFonts w:hint="default" w:ascii="Times New Roman" w:hAnsi="Times New Roman" w:cs="Times New Roman"/>
          <w:sz w:val="24"/>
          <w:szCs w:val="24"/>
        </w:rPr>
      </w:pPr>
      <w:r>
        <w:rPr>
          <w:rFonts w:hint="default" w:ascii="Times New Roman" w:hAnsi="Times New Roman" w:cs="Times New Roman"/>
          <w:color w:val="000000"/>
          <w:sz w:val="24"/>
          <w:szCs w:val="24"/>
        </w:rPr>
        <w:fldChar w:fldCharType="begin"/>
      </w:r>
      <w:r>
        <w:rPr>
          <w:rFonts w:hint="default" w:ascii="Times New Roman" w:hAnsi="Times New Roman" w:cs="Times New Roman"/>
          <w:sz w:val="24"/>
          <w:szCs w:val="24"/>
        </w:rPr>
        <w:instrText xml:space="preserve"> HYPERLINK \l _Toc30888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Table 4.15: Correlation analysis</w:t>
      </w:r>
      <w:r>
        <w:rPr>
          <w:rFonts w:hint="default" w:ascii="Times New Roman" w:hAnsi="Times New Roman" w:cs="Times New Roman"/>
          <w:sz w:val="24"/>
          <w:szCs w:val="24"/>
        </w:rPr>
        <w:tab/>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PAGEREF _Toc30888 \h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39</w:t>
      </w:r>
      <w:r>
        <w:rPr>
          <w:rFonts w:hint="default" w:ascii="Times New Roman" w:hAnsi="Times New Roman" w:cs="Times New Roman"/>
          <w:sz w:val="24"/>
          <w:szCs w:val="24"/>
        </w:rPr>
        <w:fldChar w:fldCharType="end"/>
      </w:r>
      <w:r>
        <w:rPr>
          <w:rFonts w:hint="default" w:ascii="Times New Roman" w:hAnsi="Times New Roman" w:cs="Times New Roman"/>
          <w:color w:val="000000"/>
          <w:sz w:val="24"/>
          <w:szCs w:val="24"/>
        </w:rPr>
        <w:fldChar w:fldCharType="end"/>
      </w:r>
    </w:p>
    <w:p w14:paraId="27608A1A">
      <w:pPr>
        <w:pageBreakBefore w:val="0"/>
        <w:shd w:val="clear" w:color="auto" w:fill="FFFFFF"/>
        <w:kinsoku/>
        <w:wordWrap/>
        <w:overflowPunct/>
        <w:topLinePunct w:val="0"/>
        <w:bidi w:val="0"/>
        <w:snapToGrid/>
        <w:spacing w:beforeAutospacing="0" w:after="0" w:afterAutospacing="0" w:line="360" w:lineRule="auto"/>
        <w:textAlignment w:val="auto"/>
        <w:rPr>
          <w:rFonts w:hint="default" w:ascii="Times New Roman" w:hAnsi="Times New Roman" w:cs="Times New Roman"/>
          <w:color w:val="000000"/>
          <w:sz w:val="24"/>
          <w:szCs w:val="24"/>
        </w:rPr>
      </w:pPr>
      <w:r>
        <w:rPr>
          <w:rFonts w:hint="default" w:ascii="Times New Roman" w:hAnsi="Times New Roman" w:cs="Times New Roman"/>
          <w:color w:val="000000"/>
          <w:sz w:val="24"/>
          <w:szCs w:val="24"/>
        </w:rPr>
        <w:fldChar w:fldCharType="end"/>
      </w:r>
    </w:p>
    <w:p w14:paraId="043A4C3C">
      <w:pPr>
        <w:pageBreakBefore w:val="0"/>
        <w:kinsoku/>
        <w:wordWrap/>
        <w:overflowPunct/>
        <w:topLinePunct w:val="0"/>
        <w:bidi w:val="0"/>
        <w:snapToGrid/>
        <w:spacing w:beforeAutospacing="0" w:after="0" w:afterAutospacing="0" w:line="360" w:lineRule="auto"/>
        <w:textAlignment w:val="auto"/>
      </w:pPr>
    </w:p>
    <w:p w14:paraId="349B3413">
      <w:pPr>
        <w:pageBreakBefore w:val="0"/>
        <w:kinsoku/>
        <w:wordWrap/>
        <w:overflowPunct/>
        <w:topLinePunct w:val="0"/>
        <w:bidi w:val="0"/>
        <w:snapToGrid/>
        <w:spacing w:beforeAutospacing="0" w:after="0" w:afterAutospacing="0" w:line="360" w:lineRule="auto"/>
        <w:textAlignment w:val="auto"/>
      </w:pPr>
    </w:p>
    <w:p w14:paraId="5C484A28">
      <w:pPr>
        <w:pageBreakBefore w:val="0"/>
        <w:kinsoku/>
        <w:wordWrap/>
        <w:overflowPunct/>
        <w:topLinePunct w:val="0"/>
        <w:bidi w:val="0"/>
        <w:snapToGrid/>
        <w:spacing w:beforeAutospacing="0" w:after="0" w:afterAutospacing="0" w:line="360" w:lineRule="auto"/>
        <w:textAlignment w:val="auto"/>
      </w:pPr>
    </w:p>
    <w:p w14:paraId="05288587">
      <w:pPr>
        <w:pageBreakBefore w:val="0"/>
        <w:kinsoku/>
        <w:wordWrap/>
        <w:overflowPunct/>
        <w:topLinePunct w:val="0"/>
        <w:bidi w:val="0"/>
        <w:snapToGrid/>
        <w:spacing w:beforeAutospacing="0" w:after="0" w:afterAutospacing="0" w:line="360" w:lineRule="auto"/>
        <w:textAlignment w:val="auto"/>
      </w:pPr>
    </w:p>
    <w:p w14:paraId="7E641C66">
      <w:pPr>
        <w:pageBreakBefore w:val="0"/>
        <w:kinsoku/>
        <w:wordWrap/>
        <w:overflowPunct/>
        <w:topLinePunct w:val="0"/>
        <w:bidi w:val="0"/>
        <w:snapToGrid/>
        <w:spacing w:beforeAutospacing="0" w:after="0" w:afterAutospacing="0" w:line="360" w:lineRule="auto"/>
        <w:textAlignment w:val="auto"/>
      </w:pPr>
    </w:p>
    <w:p w14:paraId="3EE2538A">
      <w:pPr>
        <w:pageBreakBefore w:val="0"/>
        <w:kinsoku/>
        <w:wordWrap/>
        <w:overflowPunct/>
        <w:topLinePunct w:val="0"/>
        <w:bidi w:val="0"/>
        <w:snapToGrid/>
        <w:spacing w:beforeAutospacing="0" w:after="0" w:afterAutospacing="0" w:line="360" w:lineRule="auto"/>
        <w:textAlignment w:val="auto"/>
      </w:pPr>
    </w:p>
    <w:p w14:paraId="081F0B86">
      <w:pPr>
        <w:pageBreakBefore w:val="0"/>
        <w:kinsoku/>
        <w:wordWrap/>
        <w:overflowPunct/>
        <w:topLinePunct w:val="0"/>
        <w:bidi w:val="0"/>
        <w:snapToGrid/>
        <w:spacing w:beforeAutospacing="0" w:after="0" w:afterAutospacing="0" w:line="360" w:lineRule="auto"/>
        <w:textAlignment w:val="auto"/>
      </w:pPr>
    </w:p>
    <w:p w14:paraId="51B7FF37">
      <w:pPr>
        <w:pageBreakBefore w:val="0"/>
        <w:kinsoku/>
        <w:wordWrap/>
        <w:overflowPunct/>
        <w:topLinePunct w:val="0"/>
        <w:bidi w:val="0"/>
        <w:snapToGrid/>
        <w:spacing w:beforeAutospacing="0" w:after="0" w:afterAutospacing="0" w:line="360" w:lineRule="auto"/>
        <w:textAlignment w:val="auto"/>
      </w:pPr>
    </w:p>
    <w:p w14:paraId="37CE2FAA">
      <w:pPr>
        <w:pageBreakBefore w:val="0"/>
        <w:kinsoku/>
        <w:wordWrap/>
        <w:overflowPunct/>
        <w:topLinePunct w:val="0"/>
        <w:bidi w:val="0"/>
        <w:snapToGrid/>
        <w:spacing w:beforeAutospacing="0" w:after="0" w:afterAutospacing="0" w:line="360" w:lineRule="auto"/>
        <w:textAlignment w:val="auto"/>
      </w:pPr>
    </w:p>
    <w:p w14:paraId="7E284BA9">
      <w:pPr>
        <w:pageBreakBefore w:val="0"/>
        <w:kinsoku/>
        <w:wordWrap/>
        <w:overflowPunct/>
        <w:topLinePunct w:val="0"/>
        <w:bidi w:val="0"/>
        <w:snapToGrid/>
        <w:spacing w:beforeAutospacing="0" w:after="0" w:afterAutospacing="0" w:line="360" w:lineRule="auto"/>
        <w:textAlignment w:val="auto"/>
      </w:pPr>
    </w:p>
    <w:p w14:paraId="04D5078C">
      <w:pPr>
        <w:pageBreakBefore w:val="0"/>
        <w:kinsoku/>
        <w:wordWrap/>
        <w:overflowPunct/>
        <w:topLinePunct w:val="0"/>
        <w:bidi w:val="0"/>
        <w:snapToGrid/>
        <w:spacing w:beforeAutospacing="0" w:after="0" w:afterAutospacing="0" w:line="360" w:lineRule="auto"/>
        <w:textAlignment w:val="auto"/>
      </w:pPr>
    </w:p>
    <w:p w14:paraId="416D6B4B">
      <w:pPr>
        <w:pageBreakBefore w:val="0"/>
        <w:kinsoku/>
        <w:wordWrap/>
        <w:overflowPunct/>
        <w:topLinePunct w:val="0"/>
        <w:bidi w:val="0"/>
        <w:snapToGrid/>
        <w:spacing w:beforeAutospacing="0" w:after="0" w:afterAutospacing="0" w:line="360" w:lineRule="auto"/>
        <w:textAlignment w:val="auto"/>
      </w:pPr>
    </w:p>
    <w:p w14:paraId="08DB1D56">
      <w:pPr>
        <w:pageBreakBefore w:val="0"/>
        <w:kinsoku/>
        <w:wordWrap/>
        <w:overflowPunct/>
        <w:topLinePunct w:val="0"/>
        <w:bidi w:val="0"/>
        <w:snapToGrid/>
        <w:spacing w:beforeAutospacing="0" w:after="0" w:afterAutospacing="0" w:line="360" w:lineRule="auto"/>
        <w:textAlignment w:val="auto"/>
      </w:pPr>
    </w:p>
    <w:p w14:paraId="374C6C71">
      <w:pPr>
        <w:pageBreakBefore w:val="0"/>
        <w:kinsoku/>
        <w:wordWrap/>
        <w:overflowPunct/>
        <w:topLinePunct w:val="0"/>
        <w:bidi w:val="0"/>
        <w:snapToGrid/>
        <w:spacing w:beforeAutospacing="0" w:after="0" w:afterAutospacing="0" w:line="360" w:lineRule="auto"/>
        <w:textAlignment w:val="auto"/>
      </w:pPr>
    </w:p>
    <w:p w14:paraId="70D1E6B5">
      <w:pPr>
        <w:pageBreakBefore w:val="0"/>
        <w:kinsoku/>
        <w:wordWrap/>
        <w:overflowPunct/>
        <w:topLinePunct w:val="0"/>
        <w:bidi w:val="0"/>
        <w:snapToGrid/>
        <w:spacing w:beforeAutospacing="0" w:after="0" w:afterAutospacing="0" w:line="360" w:lineRule="auto"/>
        <w:textAlignment w:val="auto"/>
      </w:pPr>
    </w:p>
    <w:p w14:paraId="293D9229">
      <w:pPr>
        <w:pageBreakBefore w:val="0"/>
        <w:kinsoku/>
        <w:wordWrap/>
        <w:overflowPunct/>
        <w:topLinePunct w:val="0"/>
        <w:bidi w:val="0"/>
        <w:snapToGrid/>
        <w:spacing w:beforeAutospacing="0" w:after="0" w:afterAutospacing="0" w:line="360" w:lineRule="auto"/>
        <w:textAlignment w:val="auto"/>
      </w:pPr>
    </w:p>
    <w:p w14:paraId="2F223AFE">
      <w:pPr>
        <w:pageBreakBefore w:val="0"/>
        <w:kinsoku/>
        <w:wordWrap/>
        <w:overflowPunct/>
        <w:topLinePunct w:val="0"/>
        <w:bidi w:val="0"/>
        <w:snapToGrid/>
        <w:spacing w:beforeAutospacing="0" w:after="0" w:afterAutospacing="0" w:line="360" w:lineRule="auto"/>
        <w:textAlignment w:val="auto"/>
      </w:pPr>
    </w:p>
    <w:p w14:paraId="41C1B8FC">
      <w:pPr>
        <w:pageBreakBefore w:val="0"/>
        <w:kinsoku/>
        <w:wordWrap/>
        <w:overflowPunct/>
        <w:topLinePunct w:val="0"/>
        <w:bidi w:val="0"/>
        <w:snapToGrid/>
        <w:spacing w:beforeAutospacing="0" w:after="0" w:afterAutospacing="0" w:line="360" w:lineRule="auto"/>
        <w:textAlignment w:val="auto"/>
      </w:pPr>
    </w:p>
    <w:p w14:paraId="4E9DA88E">
      <w:pPr>
        <w:pageBreakBefore w:val="0"/>
        <w:kinsoku/>
        <w:wordWrap/>
        <w:overflowPunct/>
        <w:topLinePunct w:val="0"/>
        <w:bidi w:val="0"/>
        <w:snapToGrid/>
        <w:spacing w:beforeAutospacing="0" w:after="0" w:afterAutospacing="0" w:line="360" w:lineRule="auto"/>
        <w:textAlignment w:val="auto"/>
      </w:pPr>
    </w:p>
    <w:p w14:paraId="00300959">
      <w:pPr>
        <w:pageBreakBefore w:val="0"/>
        <w:kinsoku/>
        <w:wordWrap/>
        <w:overflowPunct/>
        <w:topLinePunct w:val="0"/>
        <w:bidi w:val="0"/>
        <w:snapToGrid/>
        <w:spacing w:beforeAutospacing="0" w:after="0" w:afterAutospacing="0" w:line="360" w:lineRule="auto"/>
        <w:textAlignment w:val="auto"/>
      </w:pPr>
    </w:p>
    <w:p w14:paraId="1A705BFF">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11" w:name="_Toc360"/>
      <w:r>
        <w:rPr>
          <w:b/>
        </w:rPr>
        <w:t>LIST OF FIGURES</w:t>
      </w:r>
      <w:bookmarkEnd w:id="11"/>
    </w:p>
    <w:p w14:paraId="66981BE6">
      <w:pPr>
        <w:pageBreakBefore w:val="0"/>
        <w:kinsoku/>
        <w:wordWrap/>
        <w:overflowPunct/>
        <w:topLinePunct w:val="0"/>
        <w:bidi w:val="0"/>
        <w:snapToGrid/>
        <w:spacing w:beforeAutospacing="0" w:after="0" w:afterAutospacing="0" w:line="360" w:lineRule="auto"/>
        <w:textAlignment w:val="auto"/>
      </w:pPr>
    </w:p>
    <w:p w14:paraId="408E916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 xml:space="preserve">  Figure 1; Conceptual</w:t>
      </w:r>
      <w:r>
        <w:rPr>
          <w:rFonts w:hint="default" w:ascii="Times New Roman" w:hAnsi="Times New Roman" w:cs="Times New Roman"/>
          <w:sz w:val="24"/>
          <w:szCs w:val="24"/>
          <w:lang w:val="en-US"/>
        </w:rPr>
        <w:t xml:space="preserve"> </w:t>
      </w:r>
      <w:r>
        <w:rPr>
          <w:rFonts w:ascii="Times New Roman" w:hAnsi="Times New Roman" w:cs="Times New Roman"/>
          <w:sz w:val="24"/>
          <w:szCs w:val="24"/>
        </w:rPr>
        <w:t>Framework…………………………………………………14</w:t>
      </w:r>
    </w:p>
    <w:p w14:paraId="1045888E">
      <w:pPr>
        <w:pageBreakBefore w:val="0"/>
        <w:kinsoku/>
        <w:wordWrap/>
        <w:overflowPunct/>
        <w:topLinePunct w:val="0"/>
        <w:bidi w:val="0"/>
        <w:snapToGrid/>
        <w:spacing w:beforeAutospacing="0" w:after="0" w:afterAutospacing="0" w:line="360" w:lineRule="auto"/>
        <w:textAlignment w:val="auto"/>
      </w:pPr>
    </w:p>
    <w:p w14:paraId="229F3201">
      <w:pPr>
        <w:pageBreakBefore w:val="0"/>
        <w:kinsoku/>
        <w:wordWrap/>
        <w:overflowPunct/>
        <w:topLinePunct w:val="0"/>
        <w:bidi w:val="0"/>
        <w:snapToGrid/>
        <w:spacing w:beforeAutospacing="0" w:after="0" w:afterAutospacing="0" w:line="360" w:lineRule="auto"/>
        <w:textAlignment w:val="auto"/>
      </w:pPr>
    </w:p>
    <w:p w14:paraId="250717EB">
      <w:pPr>
        <w:pageBreakBefore w:val="0"/>
        <w:kinsoku/>
        <w:wordWrap/>
        <w:overflowPunct/>
        <w:topLinePunct w:val="0"/>
        <w:bidi w:val="0"/>
        <w:snapToGrid/>
        <w:spacing w:beforeAutospacing="0" w:after="0" w:afterAutospacing="0" w:line="360" w:lineRule="auto"/>
        <w:textAlignment w:val="auto"/>
      </w:pPr>
    </w:p>
    <w:p w14:paraId="1A33866C">
      <w:pPr>
        <w:pageBreakBefore w:val="0"/>
        <w:kinsoku/>
        <w:wordWrap/>
        <w:overflowPunct/>
        <w:topLinePunct w:val="0"/>
        <w:bidi w:val="0"/>
        <w:snapToGrid/>
        <w:spacing w:beforeAutospacing="0" w:after="0" w:afterAutospacing="0" w:line="360" w:lineRule="auto"/>
        <w:textAlignment w:val="auto"/>
      </w:pPr>
    </w:p>
    <w:p w14:paraId="65243479">
      <w:pPr>
        <w:pageBreakBefore w:val="0"/>
        <w:kinsoku/>
        <w:wordWrap/>
        <w:overflowPunct/>
        <w:topLinePunct w:val="0"/>
        <w:bidi w:val="0"/>
        <w:snapToGrid/>
        <w:spacing w:beforeAutospacing="0" w:after="0" w:afterAutospacing="0" w:line="360" w:lineRule="auto"/>
        <w:textAlignment w:val="auto"/>
      </w:pPr>
    </w:p>
    <w:p w14:paraId="4F6448DD">
      <w:pPr>
        <w:pageBreakBefore w:val="0"/>
        <w:kinsoku/>
        <w:wordWrap/>
        <w:overflowPunct/>
        <w:topLinePunct w:val="0"/>
        <w:bidi w:val="0"/>
        <w:snapToGrid/>
        <w:spacing w:beforeAutospacing="0" w:after="0" w:afterAutospacing="0" w:line="360" w:lineRule="auto"/>
        <w:textAlignment w:val="auto"/>
      </w:pPr>
    </w:p>
    <w:p w14:paraId="25DB01BB">
      <w:pPr>
        <w:pageBreakBefore w:val="0"/>
        <w:kinsoku/>
        <w:wordWrap/>
        <w:overflowPunct/>
        <w:topLinePunct w:val="0"/>
        <w:bidi w:val="0"/>
        <w:snapToGrid/>
        <w:spacing w:beforeAutospacing="0" w:after="0" w:afterAutospacing="0" w:line="360" w:lineRule="auto"/>
        <w:textAlignment w:val="auto"/>
      </w:pPr>
    </w:p>
    <w:p w14:paraId="0B8D8B92">
      <w:pPr>
        <w:pageBreakBefore w:val="0"/>
        <w:kinsoku/>
        <w:wordWrap/>
        <w:overflowPunct/>
        <w:topLinePunct w:val="0"/>
        <w:bidi w:val="0"/>
        <w:snapToGrid/>
        <w:spacing w:beforeAutospacing="0" w:after="0" w:afterAutospacing="0" w:line="360" w:lineRule="auto"/>
        <w:textAlignment w:val="auto"/>
      </w:pPr>
    </w:p>
    <w:p w14:paraId="59FA69F0">
      <w:pPr>
        <w:pageBreakBefore w:val="0"/>
        <w:kinsoku/>
        <w:wordWrap/>
        <w:overflowPunct/>
        <w:topLinePunct w:val="0"/>
        <w:bidi w:val="0"/>
        <w:snapToGrid/>
        <w:spacing w:beforeAutospacing="0" w:after="0" w:afterAutospacing="0" w:line="360" w:lineRule="auto"/>
        <w:textAlignment w:val="auto"/>
      </w:pPr>
    </w:p>
    <w:p w14:paraId="41B8986D">
      <w:pPr>
        <w:pageBreakBefore w:val="0"/>
        <w:kinsoku/>
        <w:wordWrap/>
        <w:overflowPunct/>
        <w:topLinePunct w:val="0"/>
        <w:bidi w:val="0"/>
        <w:snapToGrid/>
        <w:spacing w:beforeAutospacing="0" w:after="0" w:afterAutospacing="0" w:line="360" w:lineRule="auto"/>
        <w:textAlignment w:val="auto"/>
      </w:pPr>
    </w:p>
    <w:p w14:paraId="2BAC51DD">
      <w:pPr>
        <w:pageBreakBefore w:val="0"/>
        <w:kinsoku/>
        <w:wordWrap/>
        <w:overflowPunct/>
        <w:topLinePunct w:val="0"/>
        <w:bidi w:val="0"/>
        <w:snapToGrid/>
        <w:spacing w:beforeAutospacing="0" w:after="0" w:afterAutospacing="0" w:line="360" w:lineRule="auto"/>
        <w:textAlignment w:val="auto"/>
      </w:pPr>
    </w:p>
    <w:p w14:paraId="48CE6920">
      <w:pPr>
        <w:pageBreakBefore w:val="0"/>
        <w:kinsoku/>
        <w:wordWrap/>
        <w:overflowPunct/>
        <w:topLinePunct w:val="0"/>
        <w:bidi w:val="0"/>
        <w:snapToGrid/>
        <w:spacing w:beforeAutospacing="0" w:after="0" w:afterAutospacing="0" w:line="360" w:lineRule="auto"/>
        <w:textAlignment w:val="auto"/>
      </w:pPr>
    </w:p>
    <w:p w14:paraId="3B8EC05B">
      <w:pPr>
        <w:pageBreakBefore w:val="0"/>
        <w:kinsoku/>
        <w:wordWrap/>
        <w:overflowPunct/>
        <w:topLinePunct w:val="0"/>
        <w:bidi w:val="0"/>
        <w:snapToGrid/>
        <w:spacing w:beforeAutospacing="0" w:after="0" w:afterAutospacing="0" w:line="360" w:lineRule="auto"/>
        <w:textAlignment w:val="auto"/>
      </w:pPr>
    </w:p>
    <w:p w14:paraId="17CA4D6B">
      <w:pPr>
        <w:pageBreakBefore w:val="0"/>
        <w:kinsoku/>
        <w:wordWrap/>
        <w:overflowPunct/>
        <w:topLinePunct w:val="0"/>
        <w:bidi w:val="0"/>
        <w:snapToGrid/>
        <w:spacing w:beforeAutospacing="0" w:after="0" w:afterAutospacing="0" w:line="360" w:lineRule="auto"/>
        <w:textAlignment w:val="auto"/>
      </w:pPr>
    </w:p>
    <w:p w14:paraId="3F1C3803">
      <w:pPr>
        <w:pageBreakBefore w:val="0"/>
        <w:kinsoku/>
        <w:wordWrap/>
        <w:overflowPunct/>
        <w:topLinePunct w:val="0"/>
        <w:bidi w:val="0"/>
        <w:snapToGrid/>
        <w:spacing w:beforeAutospacing="0" w:after="0" w:afterAutospacing="0" w:line="360" w:lineRule="auto"/>
        <w:textAlignment w:val="auto"/>
      </w:pPr>
    </w:p>
    <w:p w14:paraId="0A470322">
      <w:pPr>
        <w:pageBreakBefore w:val="0"/>
        <w:kinsoku/>
        <w:wordWrap/>
        <w:overflowPunct/>
        <w:topLinePunct w:val="0"/>
        <w:bidi w:val="0"/>
        <w:snapToGrid/>
        <w:spacing w:beforeAutospacing="0" w:after="0" w:afterAutospacing="0" w:line="360" w:lineRule="auto"/>
        <w:textAlignment w:val="auto"/>
      </w:pPr>
    </w:p>
    <w:p w14:paraId="01732322">
      <w:pPr>
        <w:pageBreakBefore w:val="0"/>
        <w:kinsoku/>
        <w:wordWrap/>
        <w:overflowPunct/>
        <w:topLinePunct w:val="0"/>
        <w:bidi w:val="0"/>
        <w:snapToGrid/>
        <w:spacing w:beforeAutospacing="0" w:after="0" w:afterAutospacing="0" w:line="360" w:lineRule="auto"/>
        <w:textAlignment w:val="auto"/>
      </w:pPr>
    </w:p>
    <w:p w14:paraId="298CCE0D">
      <w:pPr>
        <w:pageBreakBefore w:val="0"/>
        <w:kinsoku/>
        <w:wordWrap/>
        <w:overflowPunct/>
        <w:topLinePunct w:val="0"/>
        <w:bidi w:val="0"/>
        <w:snapToGrid/>
        <w:spacing w:beforeAutospacing="0" w:after="0" w:afterAutospacing="0" w:line="360" w:lineRule="auto"/>
        <w:textAlignment w:val="auto"/>
      </w:pPr>
    </w:p>
    <w:p w14:paraId="5913C8C0">
      <w:pPr>
        <w:pageBreakBefore w:val="0"/>
        <w:kinsoku/>
        <w:wordWrap/>
        <w:overflowPunct/>
        <w:topLinePunct w:val="0"/>
        <w:bidi w:val="0"/>
        <w:snapToGrid/>
        <w:spacing w:beforeAutospacing="0" w:after="0" w:afterAutospacing="0" w:line="360" w:lineRule="auto"/>
        <w:textAlignment w:val="auto"/>
      </w:pPr>
    </w:p>
    <w:p w14:paraId="2F89B975">
      <w:pPr>
        <w:pageBreakBefore w:val="0"/>
        <w:kinsoku/>
        <w:wordWrap/>
        <w:overflowPunct/>
        <w:topLinePunct w:val="0"/>
        <w:bidi w:val="0"/>
        <w:snapToGrid/>
        <w:spacing w:beforeAutospacing="0" w:after="0" w:afterAutospacing="0" w:line="360" w:lineRule="auto"/>
        <w:textAlignment w:val="auto"/>
      </w:pPr>
    </w:p>
    <w:p w14:paraId="2CD547C1">
      <w:pPr>
        <w:pageBreakBefore w:val="0"/>
        <w:kinsoku/>
        <w:wordWrap/>
        <w:overflowPunct/>
        <w:topLinePunct w:val="0"/>
        <w:bidi w:val="0"/>
        <w:snapToGrid/>
        <w:spacing w:beforeAutospacing="0" w:after="0" w:afterAutospacing="0" w:line="360" w:lineRule="auto"/>
        <w:textAlignment w:val="auto"/>
      </w:pPr>
    </w:p>
    <w:p w14:paraId="4977D7C0">
      <w:pPr>
        <w:pageBreakBefore w:val="0"/>
        <w:kinsoku/>
        <w:wordWrap/>
        <w:overflowPunct/>
        <w:topLinePunct w:val="0"/>
        <w:bidi w:val="0"/>
        <w:snapToGrid/>
        <w:spacing w:beforeAutospacing="0" w:after="0" w:afterAutospacing="0" w:line="360" w:lineRule="auto"/>
        <w:textAlignment w:val="auto"/>
      </w:pPr>
    </w:p>
    <w:p w14:paraId="5180C719">
      <w:pPr>
        <w:pageBreakBefore w:val="0"/>
        <w:kinsoku/>
        <w:wordWrap/>
        <w:overflowPunct/>
        <w:topLinePunct w:val="0"/>
        <w:bidi w:val="0"/>
        <w:snapToGrid/>
        <w:spacing w:beforeAutospacing="0" w:after="0" w:afterAutospacing="0" w:line="360" w:lineRule="auto"/>
        <w:textAlignment w:val="auto"/>
      </w:pPr>
    </w:p>
    <w:p w14:paraId="786B5881">
      <w:pPr>
        <w:pageBreakBefore w:val="0"/>
        <w:kinsoku/>
        <w:wordWrap/>
        <w:overflowPunct/>
        <w:topLinePunct w:val="0"/>
        <w:bidi w:val="0"/>
        <w:snapToGrid/>
        <w:spacing w:beforeAutospacing="0" w:after="0" w:afterAutospacing="0" w:line="360" w:lineRule="auto"/>
        <w:textAlignment w:val="auto"/>
      </w:pPr>
    </w:p>
    <w:p w14:paraId="1755B4CD">
      <w:pPr>
        <w:pageBreakBefore w:val="0"/>
        <w:kinsoku/>
        <w:wordWrap/>
        <w:overflowPunct/>
        <w:topLinePunct w:val="0"/>
        <w:bidi w:val="0"/>
        <w:snapToGrid/>
        <w:spacing w:beforeAutospacing="0" w:after="0" w:afterAutospacing="0" w:line="360" w:lineRule="auto"/>
        <w:textAlignment w:val="auto"/>
      </w:pPr>
    </w:p>
    <w:p w14:paraId="11C1A3B3">
      <w:pPr>
        <w:pageBreakBefore w:val="0"/>
        <w:kinsoku/>
        <w:wordWrap/>
        <w:overflowPunct/>
        <w:topLinePunct w:val="0"/>
        <w:bidi w:val="0"/>
        <w:snapToGrid/>
        <w:spacing w:beforeAutospacing="0" w:after="0" w:afterAutospacing="0" w:line="360" w:lineRule="auto"/>
        <w:textAlignment w:val="auto"/>
      </w:pPr>
    </w:p>
    <w:p w14:paraId="3E92A115">
      <w:pPr>
        <w:pageBreakBefore w:val="0"/>
        <w:kinsoku/>
        <w:wordWrap/>
        <w:overflowPunct/>
        <w:topLinePunct w:val="0"/>
        <w:bidi w:val="0"/>
        <w:snapToGrid/>
        <w:spacing w:beforeAutospacing="0" w:after="0" w:afterAutospacing="0" w:line="360" w:lineRule="auto"/>
        <w:textAlignment w:val="auto"/>
      </w:pPr>
    </w:p>
    <w:p w14:paraId="4D4EECE0">
      <w:pPr>
        <w:pageBreakBefore w:val="0"/>
        <w:kinsoku/>
        <w:wordWrap/>
        <w:overflowPunct/>
        <w:topLinePunct w:val="0"/>
        <w:bidi w:val="0"/>
        <w:snapToGrid/>
        <w:spacing w:beforeAutospacing="0" w:after="0" w:afterAutospacing="0" w:line="360" w:lineRule="auto"/>
        <w:textAlignment w:val="auto"/>
      </w:pPr>
    </w:p>
    <w:p w14:paraId="4E07BF95">
      <w:pPr>
        <w:pageBreakBefore w:val="0"/>
        <w:kinsoku/>
        <w:wordWrap/>
        <w:overflowPunct/>
        <w:topLinePunct w:val="0"/>
        <w:bidi w:val="0"/>
        <w:snapToGrid/>
        <w:spacing w:beforeAutospacing="0" w:after="0" w:afterAutospacing="0" w:line="360" w:lineRule="auto"/>
        <w:textAlignment w:val="auto"/>
      </w:pPr>
    </w:p>
    <w:p w14:paraId="66892240">
      <w:pPr>
        <w:pageBreakBefore w:val="0"/>
        <w:kinsoku/>
        <w:wordWrap/>
        <w:overflowPunct/>
        <w:topLinePunct w:val="0"/>
        <w:bidi w:val="0"/>
        <w:snapToGrid/>
        <w:spacing w:beforeAutospacing="0" w:after="0" w:afterAutospacing="0" w:line="360" w:lineRule="auto"/>
        <w:textAlignment w:val="auto"/>
      </w:pPr>
    </w:p>
    <w:p w14:paraId="34DA5EB9">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12" w:name="_Toc31747"/>
      <w:r>
        <w:rPr>
          <w:b/>
        </w:rPr>
        <w:t>LIST OF ABBRIVIATIONS</w:t>
      </w:r>
      <w:bookmarkEnd w:id="12"/>
    </w:p>
    <w:p w14:paraId="3B93F8C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ATM         Automatic Teller Machine</w:t>
      </w:r>
    </w:p>
    <w:p w14:paraId="497A510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CRDB        Cooperative Rural Development Bank</w:t>
      </w:r>
    </w:p>
    <w:p w14:paraId="732F4E7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 xml:space="preserve">ECT           Expectancy Confirmation Theory </w:t>
      </w:r>
    </w:p>
    <w:p w14:paraId="0D53EAA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TIA</w:t>
      </w:r>
      <w:r>
        <w:rPr>
          <w:rFonts w:ascii="Times New Roman" w:hAnsi="Times New Roman" w:cs="Times New Roman"/>
          <w:sz w:val="24"/>
          <w:szCs w:val="24"/>
        </w:rPr>
        <w:tab/>
      </w:r>
      <w:r>
        <w:rPr>
          <w:rFonts w:ascii="Times New Roman" w:hAnsi="Times New Roman" w:cs="Times New Roman"/>
          <w:sz w:val="24"/>
          <w:szCs w:val="24"/>
        </w:rPr>
        <w:t xml:space="preserve">      Tanzania Institute of Accountancy</w:t>
      </w:r>
    </w:p>
    <w:p w14:paraId="0C61ED1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 xml:space="preserve">ICT            Information Communication Technology </w:t>
      </w:r>
    </w:p>
    <w:p w14:paraId="0FBD0A0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POS            Point of Sales</w:t>
      </w:r>
    </w:p>
    <w:p w14:paraId="7E8FFCB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 xml:space="preserve">SPSS         Statistical Package for Social Science </w:t>
      </w:r>
    </w:p>
    <w:p w14:paraId="63D4028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533F08C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sectPr>
          <w:type w:val="continuous"/>
          <w:pgSz w:w="11906" w:h="16838"/>
          <w:pgMar w:top="1440" w:right="1440" w:bottom="1440" w:left="2268" w:header="720" w:footer="720" w:gutter="0"/>
          <w:pgNumType w:fmt="lowerRoman" w:start="8"/>
          <w:cols w:space="0" w:num="1"/>
          <w:rtlGutter w:val="0"/>
          <w:docGrid w:linePitch="360" w:charSpace="0"/>
        </w:sectPr>
      </w:pPr>
      <w:r>
        <w:rPr>
          <w:rFonts w:ascii="Times New Roman" w:hAnsi="Times New Roman" w:cs="Times New Roman"/>
          <w:sz w:val="24"/>
          <w:szCs w:val="24"/>
        </w:rPr>
        <w:br w:type="page"/>
      </w:r>
    </w:p>
    <w:p w14:paraId="704F0E41">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13" w:name="_Toc12636"/>
      <w:r>
        <w:rPr>
          <w:b/>
        </w:rPr>
        <w:t>CHAPTER ONE</w:t>
      </w:r>
      <w:bookmarkEnd w:id="13"/>
    </w:p>
    <w:p w14:paraId="358DF82B">
      <w:pPr>
        <w:pageBreakBefore w:val="0"/>
        <w:kinsoku/>
        <w:wordWrap/>
        <w:overflowPunct/>
        <w:topLinePunct w:val="0"/>
        <w:bidi w:val="0"/>
        <w:snapToGrid/>
        <w:spacing w:beforeAutospacing="0" w:after="0" w:afterAutospacing="0" w:line="360" w:lineRule="auto"/>
        <w:jc w:val="center"/>
        <w:textAlignment w:val="auto"/>
        <w:rPr>
          <w:rFonts w:hint="default"/>
          <w:lang w:val="en-US"/>
        </w:rPr>
      </w:pPr>
      <w:r>
        <w:rPr>
          <w:rFonts w:hint="default" w:ascii="Times New Roman" w:hAnsi="Times New Roman" w:cs="Times New Roman"/>
          <w:b/>
          <w:bCs/>
          <w:sz w:val="24"/>
          <w:szCs w:val="24"/>
          <w:lang w:val="en-US"/>
        </w:rPr>
        <w:t>INTRODUCTION</w:t>
      </w:r>
    </w:p>
    <w:p w14:paraId="7A232648">
      <w:pPr>
        <w:pStyle w:val="2"/>
        <w:pageBreakBefore w:val="0"/>
        <w:kinsoku/>
        <w:wordWrap/>
        <w:overflowPunct/>
        <w:topLinePunct w:val="0"/>
        <w:bidi w:val="0"/>
        <w:snapToGrid/>
        <w:spacing w:before="0" w:beforeAutospacing="0" w:after="0" w:afterAutospacing="0" w:line="360" w:lineRule="auto"/>
        <w:textAlignment w:val="auto"/>
        <w:rPr>
          <w:b/>
        </w:rPr>
      </w:pPr>
      <w:bookmarkStart w:id="14" w:name="_Toc12226"/>
      <w:r>
        <w:rPr>
          <w:b/>
        </w:rPr>
        <w:t>1.0 Introduction</w:t>
      </w:r>
      <w:bookmarkEnd w:id="14"/>
    </w:p>
    <w:p w14:paraId="28157CF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This chapter presents the background of the study, the statement of the problem, research objectives, research questions, significance of the study and the scope of the study, and justification of the </w:t>
      </w:r>
    </w:p>
    <w:p w14:paraId="6120B18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95F79D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1.1 Background of the study</w:t>
      </w:r>
    </w:p>
    <w:p w14:paraId="68534E9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Bank shows a vital role in the economic growth of any of the country in the world. These are financial establishment that accept payments and networking those payments into contribution activities either directly or through capital deficits to those customers with capital excess. The banking industry in Tanzania is facing a certain difficulties like poor quality service. Quality service plays a role in succeeding customer satisfaction, and create    brand loyalty in banking industry at any locality that has been established.</w:t>
      </w:r>
      <w:sdt>
        <w:sdtPr>
          <w:id w:val="1732114554"/>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ula17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(ulaya, 2017)</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4C118A0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5EF38D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The Tanzanian banking industry has suffered many changes in terms of service provided with the aim of upgrading the service quality to customer service. The recent years have also seen growth in Tanzania banking industry that resulted to high competition among the bank companies </w:t>
      </w:r>
      <w:sdt>
        <w:sdtPr>
          <w:id w:val="-771556651"/>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68D4417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5460C2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term quality in our contemporary world is an essential issue that is considered a really significant notion in our real business competitive life. According to</w:t>
      </w:r>
      <w:sdt>
        <w:sdtPr>
          <w:id w:val="-1687813838"/>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Enn99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(Ennew, 1999)</w:t>
          </w:r>
          <w:r>
            <w:rPr>
              <w:rFonts w:ascii="Times New Roman" w:hAnsi="Times New Roman" w:cs="Times New Roman"/>
              <w:sz w:val="24"/>
              <w:szCs w:val="24"/>
            </w:rPr>
            <w:fldChar w:fldCharType="end"/>
          </w:r>
        </w:sdtContent>
      </w:sdt>
      <w:r>
        <w:rPr>
          <w:rFonts w:ascii="Times New Roman" w:hAnsi="Times New Roman" w:cs="Times New Roman"/>
          <w:sz w:val="24"/>
          <w:szCs w:val="24"/>
        </w:rPr>
        <w:t>, better service quality can be used to distinguish among service providers, and to win strategic competitive advantage. The service quality provided is an important factor of general customer satisfaction, which in chance resulting to customer retention and loyalty. Also service quality is regarded as one of the greatest important antecedent of customer loyalty in service businesses</w:t>
      </w:r>
      <w:sdt>
        <w:sdtPr>
          <w:id w:val="-967963188"/>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Ful05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(Fullerton, 2005)</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1100555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E0BCEE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CRDB Bank limited is no exception to this. It is therefore important that CRDB Bank manages the relationship with its customers to enable the bank compete in the market. In recent times the banking environment has been very competitive and therefore requires the players to be more skillful in their strategic approach to meet the growing demands of customers. Effective management of customer relationships is believed to be means in the approach of winning and maintaining customers. The bank reached an important milestone recently and was listed on the Dar es Salaam stock exchange on 17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of June, 2009.</w:t>
      </w:r>
    </w:p>
    <w:p w14:paraId="0C5E83A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DF027A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In Tanzania, banking and financial sector as result of Arusha declaration in 1967, came under the control and policy of the government. The commercial banking sub-sector as a result monopolized by the Nation bank of commerce -NBC was not prompted to think about customer retention, as there was no alternative to service it was the only one providing in country.</w:t>
      </w:r>
    </w:p>
    <w:p w14:paraId="0C28934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E01A3B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CRDB bank offers a comprehensive range of corporate, retail, business, treasury, premier and wholesale microfinance service through a network of over 85 branches, 250 ATMs, 15 depository ATMs, 12 mobile branches, 900 point of sales (POS) terminals and scores of microfinances partner institutions. The bank also operates through internet and mobile banking services.</w:t>
      </w:r>
      <w:sdt>
        <w:sdtPr>
          <w:rPr>
            <w:rFonts w:ascii="Times New Roman" w:hAnsi="Times New Roman" w:cs="Times New Roman"/>
            <w:sz w:val="24"/>
            <w:szCs w:val="24"/>
          </w:rPr>
          <w:id w:val="-44623956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CRD13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(CRDB, 2013)</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5047C1E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358152B">
      <w:pPr>
        <w:pStyle w:val="2"/>
        <w:pageBreakBefore w:val="0"/>
        <w:kinsoku/>
        <w:wordWrap/>
        <w:overflowPunct/>
        <w:topLinePunct w:val="0"/>
        <w:bidi w:val="0"/>
        <w:snapToGrid/>
        <w:spacing w:before="0" w:beforeAutospacing="0" w:after="0" w:afterAutospacing="0" w:line="360" w:lineRule="auto"/>
        <w:textAlignment w:val="auto"/>
        <w:rPr>
          <w:b/>
        </w:rPr>
      </w:pPr>
      <w:bookmarkStart w:id="15" w:name="_Toc28527"/>
      <w:r>
        <w:rPr>
          <w:b/>
        </w:rPr>
        <w:t>1.2 statement of the problem</w:t>
      </w:r>
      <w:bookmarkEnd w:id="15"/>
    </w:p>
    <w:p w14:paraId="7BB0ADD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most of banks experience the problems of quality service from their customers ending up to be unpleasing from the service been provided by the banking industry, that is why this study desires to investigate the effect of quality service on customer satisfaction in the banking industry.</w:t>
      </w:r>
    </w:p>
    <w:p w14:paraId="31E58F5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F01B57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In practical sense, the study sees a problem in relation to the how customers are served and to what extent they are satisfied in the banking sector in Tanzania CRDB  banking customers revealed that, there is lack of satisfaction with the level of service provided to them by their respective banks. The study therefore brings to the direct relationship between service quality and customer satisfaction which the banks have ignored for a long time.</w:t>
      </w:r>
    </w:p>
    <w:p w14:paraId="790F344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DA99F0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b/>
          <w:sz w:val="24"/>
          <w:szCs w:val="24"/>
        </w:rPr>
        <w:t>1.3 Objectives of the study</w:t>
      </w:r>
    </w:p>
    <w:p w14:paraId="566CF8F1">
      <w:pPr>
        <w:pStyle w:val="20"/>
        <w:pageBreakBefore w:val="0"/>
        <w:numPr>
          <w:ilvl w:val="0"/>
          <w:numId w:val="1"/>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objective of this study</w:t>
      </w:r>
      <w:r>
        <w:rPr>
          <w:rFonts w:ascii="Times New Roman" w:hAnsi="Times New Roman" w:cs="Times New Roman"/>
          <w:color w:val="000000" w:themeColor="text1"/>
          <w:sz w:val="24"/>
          <w:szCs w:val="24"/>
          <w14:textFill>
            <w14:solidFill>
              <w14:schemeClr w14:val="tx1"/>
            </w14:solidFill>
          </w14:textFill>
        </w:rPr>
        <w:t xml:space="preserve"> was </w:t>
      </w:r>
      <w:r>
        <w:rPr>
          <w:rFonts w:ascii="Times New Roman" w:hAnsi="Times New Roman" w:cs="Times New Roman"/>
          <w:sz w:val="24"/>
          <w:szCs w:val="24"/>
        </w:rPr>
        <w:t>to investigate the influence of services quality on overall customer satisfaction in financial institution.</w:t>
      </w:r>
    </w:p>
    <w:p w14:paraId="7E09D4AC">
      <w:pPr>
        <w:pStyle w:val="2"/>
        <w:pageBreakBefore w:val="0"/>
        <w:kinsoku/>
        <w:wordWrap/>
        <w:overflowPunct/>
        <w:topLinePunct w:val="0"/>
        <w:bidi w:val="0"/>
        <w:snapToGrid/>
        <w:spacing w:before="0" w:beforeAutospacing="0" w:after="0" w:afterAutospacing="0" w:line="360" w:lineRule="auto"/>
        <w:textAlignment w:val="auto"/>
        <w:rPr>
          <w:b/>
        </w:rPr>
      </w:pPr>
      <w:bookmarkStart w:id="16" w:name="_Toc32055"/>
      <w:r>
        <w:rPr>
          <w:b/>
        </w:rPr>
        <w:t>1.3.1 Specific objectives</w:t>
      </w:r>
      <w:bookmarkEnd w:id="16"/>
    </w:p>
    <w:p w14:paraId="6C6964A6">
      <w:pPr>
        <w:pStyle w:val="20"/>
        <w:pageBreakBefore w:val="0"/>
        <w:numPr>
          <w:ilvl w:val="0"/>
          <w:numId w:val="2"/>
        </w:numPr>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sz w:val="24"/>
          <w:szCs w:val="24"/>
        </w:rPr>
        <w:t>To examine the influence of disconfirmation of belief on customer satisfaction in financial institution.</w:t>
      </w:r>
    </w:p>
    <w:p w14:paraId="469792B5">
      <w:pPr>
        <w:pStyle w:val="20"/>
        <w:pageBreakBefore w:val="0"/>
        <w:numPr>
          <w:ilvl w:val="0"/>
          <w:numId w:val="2"/>
        </w:numPr>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sz w:val="24"/>
          <w:szCs w:val="24"/>
        </w:rPr>
        <w:t>To examine the influence of expectation on customer satisfaction in financial institution.</w:t>
      </w:r>
    </w:p>
    <w:p w14:paraId="0865577A">
      <w:pPr>
        <w:pStyle w:val="20"/>
        <w:pageBreakBefore w:val="0"/>
        <w:numPr>
          <w:ilvl w:val="0"/>
          <w:numId w:val="2"/>
        </w:numPr>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sz w:val="24"/>
          <w:szCs w:val="24"/>
        </w:rPr>
        <w:t>To examine the influence of perceived performance on customer satisfaction in financial institution.</w:t>
      </w:r>
    </w:p>
    <w:p w14:paraId="4E49442D">
      <w:pPr>
        <w:pStyle w:val="20"/>
        <w:pageBreakBefore w:val="0"/>
        <w:numPr>
          <w:ilvl w:val="0"/>
          <w:numId w:val="0"/>
        </w:numPr>
        <w:kinsoku/>
        <w:wordWrap/>
        <w:overflowPunct/>
        <w:topLinePunct w:val="0"/>
        <w:bidi w:val="0"/>
        <w:snapToGrid/>
        <w:spacing w:beforeAutospacing="0" w:after="0" w:afterAutospacing="0" w:line="360" w:lineRule="auto"/>
        <w:ind w:left="360" w:leftChars="0"/>
        <w:jc w:val="both"/>
        <w:textAlignment w:val="auto"/>
        <w:rPr>
          <w:rFonts w:ascii="Times New Roman" w:hAnsi="Times New Roman" w:cs="Times New Roman"/>
          <w:b/>
          <w:sz w:val="24"/>
          <w:szCs w:val="24"/>
        </w:rPr>
      </w:pPr>
    </w:p>
    <w:p w14:paraId="71C9452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b/>
          <w:sz w:val="24"/>
          <w:szCs w:val="24"/>
        </w:rPr>
        <w:t>1.4 General research question</w:t>
      </w:r>
    </w:p>
    <w:p w14:paraId="09EF92C1">
      <w:pPr>
        <w:pStyle w:val="20"/>
        <w:pageBreakBefore w:val="0"/>
        <w:numPr>
          <w:ilvl w:val="0"/>
          <w:numId w:val="1"/>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What is the relationship between services quality on overall customer satisfaction in financial institution.in financial institution?.</w:t>
      </w:r>
    </w:p>
    <w:p w14:paraId="0634AB98">
      <w:pPr>
        <w:pStyle w:val="20"/>
        <w:pageBreakBefore w:val="0"/>
        <w:numPr>
          <w:ilvl w:val="0"/>
          <w:numId w:val="0"/>
        </w:numPr>
        <w:kinsoku/>
        <w:wordWrap/>
        <w:overflowPunct/>
        <w:topLinePunct w:val="0"/>
        <w:bidi w:val="0"/>
        <w:snapToGrid/>
        <w:spacing w:beforeAutospacing="0" w:after="0" w:afterAutospacing="0" w:line="360" w:lineRule="auto"/>
        <w:ind w:left="360" w:leftChars="0"/>
        <w:jc w:val="both"/>
        <w:textAlignment w:val="auto"/>
        <w:rPr>
          <w:rFonts w:ascii="Times New Roman" w:hAnsi="Times New Roman" w:cs="Times New Roman"/>
          <w:sz w:val="24"/>
          <w:szCs w:val="24"/>
        </w:rPr>
      </w:pPr>
    </w:p>
    <w:p w14:paraId="6E864DA6">
      <w:pPr>
        <w:pStyle w:val="2"/>
        <w:pageBreakBefore w:val="0"/>
        <w:kinsoku/>
        <w:wordWrap/>
        <w:overflowPunct/>
        <w:topLinePunct w:val="0"/>
        <w:bidi w:val="0"/>
        <w:snapToGrid/>
        <w:spacing w:before="0" w:beforeAutospacing="0" w:after="0" w:afterAutospacing="0" w:line="360" w:lineRule="auto"/>
        <w:textAlignment w:val="auto"/>
        <w:rPr>
          <w:b/>
        </w:rPr>
      </w:pPr>
      <w:r>
        <w:rPr>
          <w:b/>
        </w:rPr>
        <w:t xml:space="preserve"> </w:t>
      </w:r>
      <w:bookmarkStart w:id="17" w:name="_Toc13604"/>
      <w:r>
        <w:rPr>
          <w:b/>
        </w:rPr>
        <w:t>1.4.1 Specific research questions</w:t>
      </w:r>
      <w:bookmarkEnd w:id="17"/>
    </w:p>
    <w:p w14:paraId="0E407AEA">
      <w:pPr>
        <w:pStyle w:val="20"/>
        <w:pageBreakBefore w:val="0"/>
        <w:numPr>
          <w:ilvl w:val="0"/>
          <w:numId w:val="3"/>
        </w:numPr>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sz w:val="24"/>
          <w:szCs w:val="24"/>
        </w:rPr>
        <w:t>What is relationship between disconfirmation of belief and customer satisfaction in financial institution?.</w:t>
      </w:r>
    </w:p>
    <w:p w14:paraId="6BFCE579">
      <w:pPr>
        <w:pStyle w:val="20"/>
        <w:pageBreakBefore w:val="0"/>
        <w:numPr>
          <w:ilvl w:val="0"/>
          <w:numId w:val="3"/>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What is relationship between expectation and customer satisfaction in financial institution?.</w:t>
      </w:r>
    </w:p>
    <w:p w14:paraId="00F81988">
      <w:pPr>
        <w:pStyle w:val="20"/>
        <w:pageBreakBefore w:val="0"/>
        <w:numPr>
          <w:ilvl w:val="0"/>
          <w:numId w:val="3"/>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What is relationship between perceived performance and customer satisfaction in financial institutions?.</w:t>
      </w:r>
    </w:p>
    <w:p w14:paraId="5DC1AD6D">
      <w:pPr>
        <w:pStyle w:val="20"/>
        <w:pageBreakBefore w:val="0"/>
        <w:numPr>
          <w:ilvl w:val="0"/>
          <w:numId w:val="0"/>
        </w:numPr>
        <w:kinsoku/>
        <w:wordWrap/>
        <w:overflowPunct/>
        <w:topLinePunct w:val="0"/>
        <w:bidi w:val="0"/>
        <w:snapToGrid/>
        <w:spacing w:beforeAutospacing="0" w:after="0" w:afterAutospacing="0" w:line="360" w:lineRule="auto"/>
        <w:ind w:leftChars="0"/>
        <w:jc w:val="both"/>
        <w:textAlignment w:val="auto"/>
        <w:rPr>
          <w:rFonts w:ascii="Times New Roman" w:hAnsi="Times New Roman" w:cs="Times New Roman"/>
          <w:sz w:val="24"/>
          <w:szCs w:val="24"/>
        </w:rPr>
      </w:pPr>
    </w:p>
    <w:p w14:paraId="3B15B4CA">
      <w:pPr>
        <w:pStyle w:val="2"/>
        <w:pageBreakBefore w:val="0"/>
        <w:kinsoku/>
        <w:wordWrap/>
        <w:overflowPunct/>
        <w:topLinePunct w:val="0"/>
        <w:bidi w:val="0"/>
        <w:snapToGrid/>
        <w:spacing w:before="0" w:beforeAutospacing="0" w:after="0" w:afterAutospacing="0" w:line="360" w:lineRule="auto"/>
        <w:textAlignment w:val="auto"/>
        <w:rPr>
          <w:b/>
        </w:rPr>
      </w:pPr>
      <w:bookmarkStart w:id="18" w:name="_Toc21117"/>
      <w:r>
        <w:rPr>
          <w:b/>
        </w:rPr>
        <w:t>1.5 Justifications</w:t>
      </w:r>
      <w:bookmarkEnd w:id="18"/>
    </w:p>
    <w:p w14:paraId="1848A5A2">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r>
        <w:rPr>
          <w:rFonts w:ascii="Times New Roman" w:hAnsi="Times New Roman" w:cs="Times New Roman"/>
          <w:sz w:val="24"/>
          <w:szCs w:val="24"/>
        </w:rPr>
        <w:t xml:space="preserve">The study </w:t>
      </w:r>
      <w:r>
        <w:rPr>
          <w:rFonts w:ascii="Times New Roman" w:hAnsi="Times New Roman" w:cs="Times New Roman"/>
          <w:color w:val="000000" w:themeColor="text1"/>
          <w:sz w:val="24"/>
          <w:szCs w:val="24"/>
          <w14:textFill>
            <w14:solidFill>
              <w14:schemeClr w14:val="tx1"/>
            </w14:solidFill>
          </w14:textFill>
        </w:rPr>
        <w:t xml:space="preserve">was </w:t>
      </w:r>
      <w:r>
        <w:rPr>
          <w:rFonts w:ascii="Times New Roman" w:hAnsi="Times New Roman" w:cs="Times New Roman"/>
          <w:sz w:val="24"/>
          <w:szCs w:val="24"/>
        </w:rPr>
        <w:t>conducted for the purpose of understanding if the customer is being satisfied by the service offered within CRDB bank. Also providing a solution that will help the bank to retain more customer and maintain customer’s loyalty by offering them quality service.</w:t>
      </w:r>
    </w:p>
    <w:p w14:paraId="2253429E">
      <w:pPr>
        <w:pStyle w:val="20"/>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BE98887">
      <w:pPr>
        <w:pStyle w:val="2"/>
        <w:pageBreakBefore w:val="0"/>
        <w:kinsoku/>
        <w:wordWrap/>
        <w:overflowPunct/>
        <w:topLinePunct w:val="0"/>
        <w:bidi w:val="0"/>
        <w:snapToGrid/>
        <w:spacing w:before="0" w:beforeAutospacing="0" w:after="0" w:afterAutospacing="0" w:line="360" w:lineRule="auto"/>
        <w:textAlignment w:val="auto"/>
        <w:rPr>
          <w:b/>
        </w:rPr>
      </w:pPr>
      <w:bookmarkStart w:id="19" w:name="_Toc12355"/>
      <w:r>
        <w:rPr>
          <w:b/>
        </w:rPr>
        <w:t>1.6 Scope</w:t>
      </w:r>
      <w:bookmarkEnd w:id="19"/>
    </w:p>
    <w:p w14:paraId="151AA339">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r>
        <w:rPr>
          <w:rFonts w:ascii="Times New Roman" w:hAnsi="Times New Roman" w:cs="Times New Roman"/>
          <w:sz w:val="24"/>
          <w:szCs w:val="24"/>
        </w:rPr>
        <w:t xml:space="preserve">The study aim to investigate the result of service quality on customer satisfaction the case of CRDB bank in Temeke branch at Dar es salaam. The area is selected to represent the satisfaction of the customer from the service quality in financial institution. </w:t>
      </w:r>
    </w:p>
    <w:p w14:paraId="334527ED">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659D6436">
      <w:pPr>
        <w:pStyle w:val="2"/>
        <w:pageBreakBefore w:val="0"/>
        <w:kinsoku/>
        <w:wordWrap/>
        <w:overflowPunct/>
        <w:topLinePunct w:val="0"/>
        <w:bidi w:val="0"/>
        <w:snapToGrid/>
        <w:spacing w:before="0" w:beforeAutospacing="0" w:after="0" w:afterAutospacing="0" w:line="360" w:lineRule="auto"/>
        <w:textAlignment w:val="auto"/>
        <w:rPr>
          <w:b/>
        </w:rPr>
      </w:pPr>
      <w:bookmarkStart w:id="20" w:name="_Toc9710"/>
      <w:r>
        <w:rPr>
          <w:b/>
        </w:rPr>
        <w:t>1.7 Significance</w:t>
      </w:r>
      <w:bookmarkEnd w:id="20"/>
    </w:p>
    <w:p w14:paraId="6DE0F3EA">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r>
        <w:rPr>
          <w:rFonts w:ascii="Times New Roman" w:hAnsi="Times New Roman" w:cs="Times New Roman"/>
          <w:sz w:val="24"/>
          <w:szCs w:val="24"/>
        </w:rPr>
        <w:t>The study primarily serves as a catalyst for other studies into the field of quality service in Tanzania, especially the banking and financial sector that has seen intense competition with the worldwide banking by the Bank of Tanzania. The study provide practitioners with the necessary factors to implement a successful service quality in order to maintain clients and be profitable.</w:t>
      </w:r>
    </w:p>
    <w:p w14:paraId="4CECB14B">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r>
        <w:rPr>
          <w:rFonts w:ascii="Times New Roman" w:hAnsi="Times New Roman" w:cs="Times New Roman"/>
          <w:sz w:val="24"/>
          <w:szCs w:val="24"/>
        </w:rPr>
        <w:t>The research will afford the management of CRDB bank another opportunity to critically evaluate their service strategy and make the necessary changes to it.</w:t>
      </w:r>
    </w:p>
    <w:p w14:paraId="110A1010">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084064EE">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4D67068E">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3E144576">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6BF9FB13">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719D1B34">
      <w:pPr>
        <w:pStyle w:val="20"/>
        <w:pageBreakBefore w:val="0"/>
        <w:kinsoku/>
        <w:wordWrap/>
        <w:overflowPunct/>
        <w:topLinePunct w:val="0"/>
        <w:bidi w:val="0"/>
        <w:snapToGrid/>
        <w:spacing w:beforeAutospacing="0" w:after="0" w:afterAutospacing="0" w:line="360" w:lineRule="auto"/>
        <w:ind w:left="360"/>
        <w:jc w:val="both"/>
        <w:textAlignment w:val="auto"/>
        <w:rPr>
          <w:rFonts w:ascii="Times New Roman" w:hAnsi="Times New Roman" w:cs="Times New Roman"/>
          <w:sz w:val="24"/>
          <w:szCs w:val="24"/>
        </w:rPr>
      </w:pPr>
    </w:p>
    <w:p w14:paraId="6D9CB3B9">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21" w:name="_Toc18090"/>
    </w:p>
    <w:p w14:paraId="0E8985A8">
      <w:pPr>
        <w:rPr>
          <w:b/>
        </w:rPr>
      </w:pPr>
    </w:p>
    <w:p w14:paraId="6160898C">
      <w:pPr>
        <w:rPr>
          <w:b/>
        </w:rPr>
      </w:pPr>
    </w:p>
    <w:p w14:paraId="2E6691B5">
      <w:pPr>
        <w:rPr>
          <w:b/>
        </w:rPr>
      </w:pPr>
    </w:p>
    <w:p w14:paraId="640E29D7">
      <w:pPr>
        <w:rPr>
          <w:b/>
        </w:rPr>
      </w:pPr>
    </w:p>
    <w:p w14:paraId="6EBE0EFE">
      <w:pPr>
        <w:rPr>
          <w:b/>
        </w:rPr>
      </w:pPr>
    </w:p>
    <w:p w14:paraId="07170F12">
      <w:pPr>
        <w:rPr>
          <w:b/>
        </w:rPr>
      </w:pPr>
    </w:p>
    <w:p w14:paraId="7FE6CA75">
      <w:pPr>
        <w:rPr>
          <w:b/>
        </w:rPr>
      </w:pPr>
    </w:p>
    <w:p w14:paraId="2B458578">
      <w:pPr>
        <w:rPr>
          <w:b/>
        </w:rPr>
      </w:pPr>
    </w:p>
    <w:p w14:paraId="609E0249">
      <w:pPr>
        <w:rPr>
          <w:b/>
        </w:rPr>
      </w:pPr>
    </w:p>
    <w:p w14:paraId="44D64F0B">
      <w:pPr>
        <w:rPr>
          <w:b/>
        </w:rPr>
      </w:pPr>
    </w:p>
    <w:p w14:paraId="2CD8B221">
      <w:pPr>
        <w:rPr>
          <w:b/>
        </w:rPr>
      </w:pPr>
    </w:p>
    <w:p w14:paraId="29E3A64A">
      <w:pPr>
        <w:rPr>
          <w:b/>
        </w:rPr>
      </w:pPr>
    </w:p>
    <w:p w14:paraId="427D7725">
      <w:pPr>
        <w:rPr>
          <w:b/>
        </w:rPr>
      </w:pPr>
    </w:p>
    <w:p w14:paraId="165DF7FA">
      <w:pPr>
        <w:pStyle w:val="2"/>
        <w:pageBreakBefore w:val="0"/>
        <w:kinsoku/>
        <w:wordWrap/>
        <w:overflowPunct/>
        <w:topLinePunct w:val="0"/>
        <w:bidi w:val="0"/>
        <w:snapToGrid/>
        <w:spacing w:before="0" w:beforeAutospacing="0" w:after="0" w:afterAutospacing="0" w:line="360" w:lineRule="auto"/>
        <w:jc w:val="center"/>
        <w:textAlignment w:val="auto"/>
        <w:rPr>
          <w:b/>
        </w:rPr>
      </w:pPr>
    </w:p>
    <w:p w14:paraId="7B1166A6">
      <w:pPr>
        <w:pStyle w:val="2"/>
        <w:pageBreakBefore w:val="0"/>
        <w:kinsoku/>
        <w:wordWrap/>
        <w:overflowPunct/>
        <w:topLinePunct w:val="0"/>
        <w:bidi w:val="0"/>
        <w:snapToGrid/>
        <w:spacing w:before="0" w:beforeAutospacing="0" w:after="0" w:afterAutospacing="0" w:line="360" w:lineRule="auto"/>
        <w:jc w:val="center"/>
        <w:textAlignment w:val="auto"/>
        <w:rPr>
          <w:b/>
        </w:rPr>
      </w:pPr>
      <w:r>
        <w:rPr>
          <w:b/>
        </w:rPr>
        <w:t>CHAPTER TWO</w:t>
      </w:r>
      <w:bookmarkEnd w:id="21"/>
    </w:p>
    <w:p w14:paraId="3F116577">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22" w:name="_Toc4911"/>
      <w:r>
        <w:rPr>
          <w:b/>
        </w:rPr>
        <w:t>LITERATURE REVIEW</w:t>
      </w:r>
      <w:bookmarkEnd w:id="22"/>
    </w:p>
    <w:p w14:paraId="015A7F2A">
      <w:pPr>
        <w:pStyle w:val="2"/>
        <w:pageBreakBefore w:val="0"/>
        <w:kinsoku/>
        <w:wordWrap/>
        <w:overflowPunct/>
        <w:topLinePunct w:val="0"/>
        <w:bidi w:val="0"/>
        <w:snapToGrid/>
        <w:spacing w:before="0" w:beforeAutospacing="0" w:after="0" w:afterAutospacing="0" w:line="360" w:lineRule="auto"/>
        <w:textAlignment w:val="auto"/>
        <w:rPr>
          <w:b/>
        </w:rPr>
      </w:pPr>
      <w:bookmarkStart w:id="23" w:name="_Toc17824"/>
      <w:r>
        <w:rPr>
          <w:b/>
        </w:rPr>
        <w:t>2.0 Introduction</w:t>
      </w:r>
      <w:bookmarkEnd w:id="23"/>
      <w:r>
        <w:rPr>
          <w:b/>
        </w:rPr>
        <w:t xml:space="preserve"> </w:t>
      </w:r>
    </w:p>
    <w:p w14:paraId="47CF8DD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chapter consist of numbers of definitions of concepts as service quality, customer satisfaction, customer expectations, perceived performance and disconfirmation of beliefs.</w:t>
      </w:r>
    </w:p>
    <w:p w14:paraId="2F31E2F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06C7800">
      <w:pPr>
        <w:pStyle w:val="2"/>
        <w:pageBreakBefore w:val="0"/>
        <w:kinsoku/>
        <w:wordWrap/>
        <w:overflowPunct/>
        <w:topLinePunct w:val="0"/>
        <w:bidi w:val="0"/>
        <w:snapToGrid/>
        <w:spacing w:before="0" w:beforeAutospacing="0" w:after="0" w:afterAutospacing="0" w:line="360" w:lineRule="auto"/>
        <w:textAlignment w:val="auto"/>
        <w:rPr>
          <w:b/>
        </w:rPr>
      </w:pPr>
      <w:bookmarkStart w:id="24" w:name="_Toc14786"/>
      <w:r>
        <w:rPr>
          <w:b/>
        </w:rPr>
        <w:t>2.1 Theoretical review</w:t>
      </w:r>
      <w:bookmarkEnd w:id="24"/>
    </w:p>
    <w:p w14:paraId="5BDB87C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As banks compete in the market place with generally undifferentiated product, service quality becomes a primary competition weapon</w:t>
      </w:r>
      <w:sdt>
        <w:sdtPr>
          <w:rPr>
            <w:rFonts w:ascii="Times New Roman" w:hAnsi="Times New Roman" w:cs="Times New Roman"/>
            <w:sz w:val="24"/>
            <w:szCs w:val="24"/>
          </w:rPr>
          <w:id w:val="329729736"/>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Kum10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(Kumar, 2010)</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According to the theory of expectancy disconfirmation theory developed by </w:t>
      </w:r>
      <w:sdt>
        <w:sdtPr>
          <w:rPr>
            <w:rFonts w:ascii="Times New Roman" w:hAnsi="Times New Roman" w:cs="Times New Roman"/>
            <w:sz w:val="24"/>
            <w:szCs w:val="24"/>
          </w:rPr>
          <w:id w:val="-76160747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Oli97 \l 1033 </w:instrText>
          </w:r>
          <w:r>
            <w:rPr>
              <w:rFonts w:ascii="Times New Roman" w:hAnsi="Times New Roman" w:cs="Times New Roman"/>
              <w:sz w:val="24"/>
              <w:szCs w:val="24"/>
            </w:rPr>
            <w:fldChar w:fldCharType="separate"/>
          </w:r>
          <w:r>
            <w:rPr>
              <w:rFonts w:ascii="Times New Roman" w:hAnsi="Times New Roman" w:cs="Times New Roman"/>
              <w:sz w:val="24"/>
              <w:szCs w:val="24"/>
            </w:rPr>
            <w:t>(Oliver, 1997)</w:t>
          </w:r>
          <w:r>
            <w:rPr>
              <w:rFonts w:ascii="Times New Roman" w:hAnsi="Times New Roman" w:cs="Times New Roman"/>
              <w:sz w:val="24"/>
              <w:szCs w:val="24"/>
            </w:rPr>
            <w:fldChar w:fldCharType="end"/>
          </w:r>
        </w:sdtContent>
      </w:sdt>
      <w:r>
        <w:rPr>
          <w:rFonts w:ascii="Times New Roman" w:hAnsi="Times New Roman" w:cs="Times New Roman"/>
          <w:sz w:val="24"/>
          <w:szCs w:val="24"/>
        </w:rPr>
        <w:t>explain expectations, coupled with perceived performance, led to post-purchase satisfaction. this effect is mediated through positive or negative disconfirmation between expectations and performance. If a service outperforms expectations (positive disconfirmation) post-purchase satisfaction will result. If a service falls short of expectations (negative disconfirmation) the consumer is likely to be dissatisfied. These theory used to measure service quality in some organization. So in this case the theory is reflected and its because it bring justification to customer’s expectation of service given as well as perception of the service which is superior way to measure service quality in service sector.</w:t>
      </w:r>
    </w:p>
    <w:p w14:paraId="0ACE335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C9AEDD6">
      <w:pPr>
        <w:pStyle w:val="2"/>
        <w:pageBreakBefore w:val="0"/>
        <w:kinsoku/>
        <w:wordWrap/>
        <w:overflowPunct/>
        <w:topLinePunct w:val="0"/>
        <w:bidi w:val="0"/>
        <w:snapToGrid/>
        <w:spacing w:before="0" w:beforeAutospacing="0" w:after="0" w:afterAutospacing="0" w:line="360" w:lineRule="auto"/>
        <w:textAlignment w:val="auto"/>
        <w:rPr>
          <w:b/>
        </w:rPr>
      </w:pPr>
      <w:bookmarkStart w:id="25" w:name="_Toc171"/>
      <w:r>
        <w:rPr>
          <w:b/>
        </w:rPr>
        <w:t>2.1.1 Definition of key term</w:t>
      </w:r>
      <w:bookmarkEnd w:id="25"/>
    </w:p>
    <w:p w14:paraId="1B6A61CF">
      <w:pPr>
        <w:pStyle w:val="2"/>
        <w:pageBreakBefore w:val="0"/>
        <w:kinsoku/>
        <w:wordWrap/>
        <w:overflowPunct/>
        <w:topLinePunct w:val="0"/>
        <w:bidi w:val="0"/>
        <w:snapToGrid/>
        <w:spacing w:before="0" w:beforeAutospacing="0" w:after="0" w:afterAutospacing="0" w:line="360" w:lineRule="auto"/>
        <w:textAlignment w:val="auto"/>
        <w:rPr>
          <w:b/>
        </w:rPr>
      </w:pPr>
      <w:bookmarkStart w:id="26" w:name="_Toc12532"/>
      <w:r>
        <w:rPr>
          <w:b/>
        </w:rPr>
        <w:t>2.1.2 Customer satisfaction</w:t>
      </w:r>
      <w:bookmarkEnd w:id="26"/>
    </w:p>
    <w:p w14:paraId="1D84809A">
      <w:pPr>
        <w:pageBreakBefore w:val="0"/>
        <w:kinsoku/>
        <w:wordWrap/>
        <w:overflowPunct/>
        <w:topLinePunct w:val="0"/>
        <w:bidi w:val="0"/>
        <w:snapToGrid/>
        <w:spacing w:beforeAutospacing="0" w:after="0" w:afterAutospacing="0" w:line="360" w:lineRule="auto"/>
        <w:ind w:right="33"/>
        <w:jc w:val="both"/>
        <w:textAlignment w:val="auto"/>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67749393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Kot07 \l 1033 </w:instrText>
          </w:r>
          <w:r>
            <w:rPr>
              <w:rFonts w:ascii="Times New Roman" w:hAnsi="Times New Roman" w:cs="Times New Roman"/>
              <w:sz w:val="24"/>
              <w:szCs w:val="24"/>
            </w:rPr>
            <w:fldChar w:fldCharType="separate"/>
          </w:r>
          <w:r>
            <w:rPr>
              <w:rFonts w:ascii="Times New Roman" w:hAnsi="Times New Roman" w:cs="Times New Roman"/>
              <w:sz w:val="24"/>
              <w:szCs w:val="24"/>
            </w:rPr>
            <w:t>(Kotler, 2007)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customer satisfaction or consumer satisfaction is a feeling of pleasure or disappointment that arises after comparing the performance of products thought to the expected performance. In the </w:t>
      </w:r>
      <w:sdt>
        <w:sdtPr>
          <w:rPr>
            <w:rFonts w:ascii="Times New Roman" w:hAnsi="Times New Roman" w:cs="Times New Roman"/>
            <w:sz w:val="24"/>
            <w:szCs w:val="24"/>
          </w:rPr>
          <w:id w:val="111805144"/>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par91 \l 1033 </w:instrText>
          </w:r>
          <w:r>
            <w:rPr>
              <w:rFonts w:ascii="Times New Roman" w:hAnsi="Times New Roman" w:cs="Times New Roman"/>
              <w:sz w:val="24"/>
              <w:szCs w:val="24"/>
            </w:rPr>
            <w:fldChar w:fldCharType="separate"/>
          </w:r>
          <w:r>
            <w:rPr>
              <w:rFonts w:ascii="Times New Roman" w:hAnsi="Times New Roman" w:cs="Times New Roman"/>
              <w:sz w:val="24"/>
              <w:szCs w:val="24"/>
            </w:rPr>
            <w:t>(parasuraman, 1991)</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customer satisfaction can be seen as a result of the difference between customer perceptions and service quality expectations. </w:t>
      </w:r>
      <w:sdt>
        <w:sdtPr>
          <w:rPr>
            <w:rFonts w:ascii="Times New Roman" w:hAnsi="Times New Roman" w:cs="Times New Roman"/>
            <w:sz w:val="24"/>
            <w:szCs w:val="24"/>
          </w:rPr>
          <w:id w:val="59776324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Kot08 \l 1033 </w:instrText>
          </w:r>
          <w:r>
            <w:rPr>
              <w:rFonts w:ascii="Times New Roman" w:hAnsi="Times New Roman" w:cs="Times New Roman"/>
              <w:sz w:val="24"/>
              <w:szCs w:val="24"/>
            </w:rPr>
            <w:fldChar w:fldCharType="separate"/>
          </w:r>
          <w:r>
            <w:rPr>
              <w:rFonts w:ascii="Times New Roman" w:hAnsi="Times New Roman" w:cs="Times New Roman"/>
              <w:sz w:val="24"/>
              <w:szCs w:val="24"/>
            </w:rPr>
            <w:t>(Armstrong, 2008)</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say that customers creates form of expectations about the value and satisfaction that will be given from various market offers and buy based on those expectations.  Satisfied customers will return to buy or use goods or services and tell others about their good experiences.  Customer satisfaction depends on the performance of the product assumption relative to buyer expectations. If product performance does not meet expectations, the customer would disappointed.  If the product performance matches or exceeds the expectations, the customer would satisfied. </w:t>
      </w:r>
      <w:sdt>
        <w:sdtPr>
          <w:rPr>
            <w:rFonts w:ascii="Times New Roman" w:hAnsi="Times New Roman" w:cs="Times New Roman"/>
            <w:sz w:val="24"/>
            <w:szCs w:val="24"/>
          </w:rPr>
          <w:id w:val="1264271051"/>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Hen20 \l 1033 </w:instrText>
          </w:r>
          <w:r>
            <w:rPr>
              <w:rFonts w:ascii="Times New Roman" w:hAnsi="Times New Roman" w:cs="Times New Roman"/>
              <w:sz w:val="24"/>
              <w:szCs w:val="24"/>
            </w:rPr>
            <w:fldChar w:fldCharType="separate"/>
          </w:r>
          <w:r>
            <w:rPr>
              <w:rFonts w:ascii="Times New Roman" w:hAnsi="Times New Roman" w:cs="Times New Roman"/>
              <w:sz w:val="24"/>
              <w:szCs w:val="24"/>
            </w:rPr>
            <w:t>(praseto, 2020)</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42D38BEF">
      <w:pPr>
        <w:pageBreakBefore w:val="0"/>
        <w:kinsoku/>
        <w:wordWrap/>
        <w:overflowPunct/>
        <w:topLinePunct w:val="0"/>
        <w:bidi w:val="0"/>
        <w:snapToGrid/>
        <w:spacing w:beforeAutospacing="0" w:after="0" w:afterAutospacing="0" w:line="360" w:lineRule="auto"/>
        <w:ind w:right="33"/>
        <w:jc w:val="both"/>
        <w:textAlignment w:val="auto"/>
        <w:rPr>
          <w:rFonts w:ascii="Times New Roman" w:hAnsi="Times New Roman" w:cs="Times New Roman"/>
          <w:sz w:val="24"/>
          <w:szCs w:val="24"/>
        </w:rPr>
      </w:pPr>
    </w:p>
    <w:p w14:paraId="506944EA">
      <w:pPr>
        <w:pStyle w:val="2"/>
        <w:pageBreakBefore w:val="0"/>
        <w:kinsoku/>
        <w:wordWrap/>
        <w:overflowPunct/>
        <w:topLinePunct w:val="0"/>
        <w:bidi w:val="0"/>
        <w:snapToGrid/>
        <w:spacing w:before="0" w:beforeAutospacing="0" w:after="0" w:afterAutospacing="0" w:line="360" w:lineRule="auto"/>
        <w:textAlignment w:val="auto"/>
        <w:rPr>
          <w:b/>
        </w:rPr>
      </w:pPr>
      <w:bookmarkStart w:id="27" w:name="_Toc1086"/>
      <w:r>
        <w:rPr>
          <w:b/>
        </w:rPr>
        <w:t>2.2.2 Service quality</w:t>
      </w:r>
      <w:bookmarkEnd w:id="27"/>
    </w:p>
    <w:p w14:paraId="131404EE">
      <w:pPr>
        <w:pageBreakBefore w:val="0"/>
        <w:kinsoku/>
        <w:wordWrap/>
        <w:overflowPunct/>
        <w:topLinePunct w:val="0"/>
        <w:bidi w:val="0"/>
        <w:snapToGrid/>
        <w:spacing w:beforeAutospacing="0" w:after="0" w:afterAutospacing="0" w:line="360" w:lineRule="auto"/>
        <w:ind w:right="19"/>
        <w:jc w:val="both"/>
        <w:textAlignment w:val="auto"/>
        <w:rPr>
          <w:rFonts w:ascii="Times New Roman" w:hAnsi="Times New Roman" w:cs="Times New Roman"/>
          <w:sz w:val="24"/>
          <w:szCs w:val="24"/>
        </w:rPr>
      </w:pPr>
      <w:r>
        <w:rPr>
          <w:rFonts w:ascii="Times New Roman" w:hAnsi="Times New Roman" w:cs="Times New Roman"/>
          <w:sz w:val="24"/>
          <w:szCs w:val="24"/>
        </w:rPr>
        <w:t xml:space="preserve">Perceived quality is a general decision or sentiment regarding service, which includes individuals’ emotional and relativistic reactions. It is a type of behavior linked to satisfaction, resulting in comparisons between expectations and insights of outcomes </w:t>
      </w:r>
      <w:sdt>
        <w:sdtPr>
          <w:rPr>
            <w:rFonts w:ascii="Times New Roman" w:hAnsi="Times New Roman" w:cs="Times New Roman"/>
            <w:sz w:val="24"/>
            <w:szCs w:val="24"/>
          </w:rPr>
          <w:id w:val="32972407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Par91 \l 1033 </w:instrText>
          </w:r>
          <w:r>
            <w:rPr>
              <w:rFonts w:ascii="Times New Roman" w:hAnsi="Times New Roman" w:cs="Times New Roman"/>
              <w:sz w:val="24"/>
              <w:szCs w:val="24"/>
            </w:rPr>
            <w:fldChar w:fldCharType="separate"/>
          </w:r>
          <w:r>
            <w:rPr>
              <w:rFonts w:ascii="Times New Roman" w:hAnsi="Times New Roman" w:cs="Times New Roman"/>
              <w:sz w:val="24"/>
              <w:szCs w:val="24"/>
            </w:rPr>
            <w:t>(Parasuraman, 1991)</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0E3AB82F">
      <w:pPr>
        <w:pageBreakBefore w:val="0"/>
        <w:kinsoku/>
        <w:wordWrap/>
        <w:overflowPunct/>
        <w:topLinePunct w:val="0"/>
        <w:bidi w:val="0"/>
        <w:snapToGrid/>
        <w:spacing w:beforeAutospacing="0" w:after="0" w:afterAutospacing="0" w:line="360" w:lineRule="auto"/>
        <w:ind w:right="19"/>
        <w:jc w:val="both"/>
        <w:textAlignment w:val="auto"/>
        <w:rPr>
          <w:rFonts w:ascii="Times New Roman" w:hAnsi="Times New Roman" w:cs="Times New Roman"/>
          <w:sz w:val="24"/>
          <w:szCs w:val="24"/>
        </w:rPr>
      </w:pPr>
      <w:r>
        <w:rPr>
          <w:rFonts w:ascii="Times New Roman" w:hAnsi="Times New Roman" w:cs="Times New Roman"/>
          <w:sz w:val="24"/>
          <w:szCs w:val="24"/>
        </w:rPr>
        <w:t>Service quality is watched as a formula of outlook on behalf of a long-run general valuation. Upholding service excellence at positive level and enlightening service quality necessity be life-time efforts for those financial institution who desires life time success in customer’s life</w:t>
      </w:r>
      <w:sdt>
        <w:sdtPr>
          <w:rPr>
            <w:rFonts w:ascii="Times New Roman" w:hAnsi="Times New Roman" w:cs="Times New Roman"/>
            <w:sz w:val="24"/>
            <w:szCs w:val="24"/>
          </w:rPr>
          <w:id w:val="-697623100"/>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Ula17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(Ulaya, 2017)</w:t>
          </w:r>
          <w:r>
            <w:rPr>
              <w:rFonts w:ascii="Times New Roman" w:hAnsi="Times New Roman" w:cs="Times New Roman"/>
              <w:sz w:val="24"/>
              <w:szCs w:val="24"/>
            </w:rPr>
            <w:fldChar w:fldCharType="end"/>
          </w:r>
        </w:sdtContent>
      </w:sdt>
    </w:p>
    <w:p w14:paraId="1D3DA06F">
      <w:pPr>
        <w:pStyle w:val="2"/>
        <w:pageBreakBefore w:val="0"/>
        <w:kinsoku/>
        <w:wordWrap/>
        <w:overflowPunct/>
        <w:topLinePunct w:val="0"/>
        <w:bidi w:val="0"/>
        <w:snapToGrid/>
        <w:spacing w:before="0" w:beforeAutospacing="0" w:after="0" w:afterAutospacing="0" w:line="360" w:lineRule="auto"/>
        <w:textAlignment w:val="auto"/>
        <w:rPr>
          <w:b/>
        </w:rPr>
      </w:pPr>
      <w:bookmarkStart w:id="28" w:name="_Toc17501"/>
    </w:p>
    <w:p w14:paraId="6C85E9F6">
      <w:pPr>
        <w:pStyle w:val="2"/>
        <w:pageBreakBefore w:val="0"/>
        <w:kinsoku/>
        <w:wordWrap/>
        <w:overflowPunct/>
        <w:topLinePunct w:val="0"/>
        <w:bidi w:val="0"/>
        <w:snapToGrid/>
        <w:spacing w:before="0" w:beforeAutospacing="0" w:after="0" w:afterAutospacing="0" w:line="360" w:lineRule="auto"/>
        <w:textAlignment w:val="auto"/>
        <w:rPr>
          <w:b/>
        </w:rPr>
      </w:pPr>
      <w:r>
        <w:rPr>
          <w:b/>
        </w:rPr>
        <w:t>2.2.3 Customer expectations.</w:t>
      </w:r>
      <w:bookmarkEnd w:id="28"/>
    </w:p>
    <w:p w14:paraId="475D83F7">
      <w:pPr>
        <w:pageBreakBefore w:val="0"/>
        <w:kinsoku/>
        <w:wordWrap/>
        <w:overflowPunct/>
        <w:topLinePunct w:val="0"/>
        <w:bidi w:val="0"/>
        <w:snapToGrid/>
        <w:spacing w:beforeAutospacing="0" w:after="0" w:afterAutospacing="0" w:line="360" w:lineRule="auto"/>
        <w:ind w:right="19"/>
        <w:jc w:val="both"/>
        <w:textAlignment w:val="auto"/>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1073970468"/>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Tho061 \l 1033 </w:instrText>
          </w:r>
          <w:r>
            <w:rPr>
              <w:rFonts w:ascii="Times New Roman" w:hAnsi="Times New Roman" w:cs="Times New Roman"/>
              <w:sz w:val="24"/>
              <w:szCs w:val="24"/>
            </w:rPr>
            <w:fldChar w:fldCharType="separate"/>
          </w:r>
          <w:r>
            <w:rPr>
              <w:rFonts w:ascii="Times New Roman" w:hAnsi="Times New Roman" w:cs="Times New Roman"/>
              <w:sz w:val="24"/>
              <w:szCs w:val="24"/>
            </w:rPr>
            <w:t>(Thong, 2006)</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customer satisfaction refers to attribute or characteristics that a person anticipates or predicts will be associated with an entity such as a product, service, or technology artifact. Its important to understand the customer expectation from certain product or service, and how they are formed. The expectation of a customer can vary on situation and also differ from customer to customer. Expectation can be very high where there are a lot of alternatives to meet the need. From the firm’s point of view, they look about two factors related with the product.</w:t>
      </w:r>
      <w:sdt>
        <w:sdtPr>
          <w:rPr>
            <w:rFonts w:ascii="Times New Roman" w:hAnsi="Times New Roman" w:cs="Times New Roman"/>
            <w:sz w:val="24"/>
            <w:szCs w:val="24"/>
          </w:rPr>
          <w:id w:val="1127973863"/>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31858887">
      <w:pPr>
        <w:pStyle w:val="2"/>
        <w:pageBreakBefore w:val="0"/>
        <w:kinsoku/>
        <w:wordWrap/>
        <w:overflowPunct/>
        <w:topLinePunct w:val="0"/>
        <w:bidi w:val="0"/>
        <w:snapToGrid/>
        <w:spacing w:before="0" w:beforeAutospacing="0" w:after="0" w:afterAutospacing="0" w:line="360" w:lineRule="auto"/>
        <w:textAlignment w:val="auto"/>
        <w:rPr>
          <w:b/>
        </w:rPr>
      </w:pPr>
      <w:bookmarkStart w:id="29" w:name="_Toc25278"/>
    </w:p>
    <w:p w14:paraId="25462B13">
      <w:pPr>
        <w:pStyle w:val="2"/>
        <w:pageBreakBefore w:val="0"/>
        <w:kinsoku/>
        <w:wordWrap/>
        <w:overflowPunct/>
        <w:topLinePunct w:val="0"/>
        <w:bidi w:val="0"/>
        <w:snapToGrid/>
        <w:spacing w:before="0" w:beforeAutospacing="0" w:after="0" w:afterAutospacing="0" w:line="360" w:lineRule="auto"/>
        <w:textAlignment w:val="auto"/>
        <w:rPr>
          <w:b/>
        </w:rPr>
      </w:pPr>
      <w:r>
        <w:rPr>
          <w:b/>
        </w:rPr>
        <w:t>2.2.4 Perceived performance.</w:t>
      </w:r>
      <w:bookmarkEnd w:id="29"/>
    </w:p>
    <w:p w14:paraId="1B0E0185">
      <w:pPr>
        <w:pageBreakBefore w:val="0"/>
        <w:kinsoku/>
        <w:wordWrap/>
        <w:overflowPunct/>
        <w:topLinePunct w:val="0"/>
        <w:bidi w:val="0"/>
        <w:snapToGrid/>
        <w:spacing w:beforeAutospacing="0" w:after="0" w:afterAutospacing="0" w:line="360" w:lineRule="auto"/>
        <w:ind w:right="19"/>
        <w:jc w:val="both"/>
        <w:textAlignment w:val="auto"/>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104664281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San18 \l 1033 </w:instrText>
          </w:r>
          <w:r>
            <w:rPr>
              <w:rFonts w:ascii="Times New Roman" w:hAnsi="Times New Roman" w:cs="Times New Roman"/>
              <w:sz w:val="24"/>
              <w:szCs w:val="24"/>
            </w:rPr>
            <w:fldChar w:fldCharType="separate"/>
          </w:r>
          <w:r>
            <w:rPr>
              <w:rFonts w:ascii="Times New Roman" w:hAnsi="Times New Roman" w:cs="Times New Roman"/>
              <w:sz w:val="24"/>
              <w:szCs w:val="24"/>
            </w:rPr>
            <w:t>(chakravartty, 2018)</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performance refers to a person’s perceptions of the actual performance of a product, service, or technology artifact. According to expectation confirmation theory, perceptions of performance are directly influenced by pre-purchase or pre-adoption expectations, and in turn directly influence disconfirmation of belief and post-purchase or post adoption satisfaction by way of mediational relationship through  the disconfirmation construct.</w:t>
      </w:r>
    </w:p>
    <w:p w14:paraId="732258D8">
      <w:pPr>
        <w:pStyle w:val="2"/>
        <w:pageBreakBefore w:val="0"/>
        <w:kinsoku/>
        <w:wordWrap/>
        <w:overflowPunct/>
        <w:topLinePunct w:val="0"/>
        <w:bidi w:val="0"/>
        <w:snapToGrid/>
        <w:spacing w:before="0" w:beforeAutospacing="0" w:after="0" w:afterAutospacing="0" w:line="360" w:lineRule="auto"/>
        <w:textAlignment w:val="auto"/>
        <w:rPr>
          <w:b/>
        </w:rPr>
      </w:pPr>
      <w:bookmarkStart w:id="30" w:name="_Toc1360"/>
    </w:p>
    <w:p w14:paraId="2B14450F">
      <w:pPr>
        <w:pStyle w:val="2"/>
        <w:pageBreakBefore w:val="0"/>
        <w:kinsoku/>
        <w:wordWrap/>
        <w:overflowPunct/>
        <w:topLinePunct w:val="0"/>
        <w:bidi w:val="0"/>
        <w:snapToGrid/>
        <w:spacing w:before="0" w:beforeAutospacing="0" w:after="0" w:afterAutospacing="0" w:line="360" w:lineRule="auto"/>
        <w:textAlignment w:val="auto"/>
        <w:rPr>
          <w:b/>
        </w:rPr>
      </w:pPr>
      <w:r>
        <w:rPr>
          <w:b/>
        </w:rPr>
        <w:t>2.2.5 Disconfirmation of beliefs.</w:t>
      </w:r>
      <w:bookmarkEnd w:id="30"/>
    </w:p>
    <w:p w14:paraId="5CB3FE43">
      <w:pPr>
        <w:pageBreakBefore w:val="0"/>
        <w:kinsoku/>
        <w:wordWrap/>
        <w:overflowPunct/>
        <w:topLinePunct w:val="0"/>
        <w:bidi w:val="0"/>
        <w:snapToGrid/>
        <w:spacing w:beforeAutospacing="0" w:after="0" w:afterAutospacing="0" w:line="360" w:lineRule="auto"/>
        <w:ind w:right="19"/>
        <w:jc w:val="both"/>
        <w:textAlignment w:val="auto"/>
        <w:rPr>
          <w:rFonts w:ascii="Times New Roman" w:hAnsi="Times New Roman" w:cs="Times New Roman"/>
          <w:sz w:val="24"/>
          <w:szCs w:val="24"/>
        </w:rPr>
      </w:pPr>
      <w:r>
        <w:rPr>
          <w:rFonts w:ascii="Times New Roman" w:hAnsi="Times New Roman" w:cs="Times New Roman"/>
          <w:sz w:val="24"/>
          <w:szCs w:val="24"/>
        </w:rPr>
        <w:t>According to</w:t>
      </w:r>
      <w:sdt>
        <w:sdtPr>
          <w:rPr>
            <w:rFonts w:ascii="Times New Roman" w:hAnsi="Times New Roman" w:cs="Times New Roman"/>
            <w:sz w:val="24"/>
            <w:szCs w:val="24"/>
          </w:rPr>
          <w:id w:val="-137413835"/>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San18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(chakravartty, 2018)</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disconfirmation refers to the judgment or evaluations that a person makes with respect to a product, service, or technology artifact outperforms the person’s original expectations, the disconfirmation is positive, which posited to decrease post-purchase  or post- adoption satisfaction. </w:t>
      </w:r>
    </w:p>
    <w:p w14:paraId="00053DDA">
      <w:pPr>
        <w:pageBreakBefore w:val="0"/>
        <w:kinsoku/>
        <w:wordWrap/>
        <w:overflowPunct/>
        <w:topLinePunct w:val="0"/>
        <w:bidi w:val="0"/>
        <w:snapToGrid/>
        <w:spacing w:beforeAutospacing="0" w:after="0" w:afterAutospacing="0" w:line="360" w:lineRule="auto"/>
        <w:ind w:right="19"/>
        <w:jc w:val="both"/>
        <w:textAlignment w:val="auto"/>
        <w:rPr>
          <w:rFonts w:ascii="Times New Roman" w:hAnsi="Times New Roman" w:cs="Times New Roman"/>
          <w:sz w:val="24"/>
          <w:szCs w:val="24"/>
        </w:rPr>
      </w:pPr>
    </w:p>
    <w:p w14:paraId="3D2D95F3">
      <w:pPr>
        <w:pStyle w:val="2"/>
        <w:pageBreakBefore w:val="0"/>
        <w:kinsoku/>
        <w:wordWrap/>
        <w:overflowPunct/>
        <w:topLinePunct w:val="0"/>
        <w:bidi w:val="0"/>
        <w:snapToGrid/>
        <w:spacing w:before="0" w:beforeAutospacing="0" w:after="0" w:afterAutospacing="0" w:line="360" w:lineRule="auto"/>
        <w:textAlignment w:val="auto"/>
        <w:rPr>
          <w:b/>
        </w:rPr>
      </w:pPr>
      <w:bookmarkStart w:id="31" w:name="_Toc5797"/>
      <w:r>
        <w:rPr>
          <w:b/>
        </w:rPr>
        <w:t>2.2.1 Empirical literature review</w:t>
      </w:r>
      <w:bookmarkEnd w:id="31"/>
    </w:p>
    <w:p w14:paraId="4CFFC9CC">
      <w:pPr>
        <w:pStyle w:val="2"/>
        <w:pageBreakBefore w:val="0"/>
        <w:kinsoku/>
        <w:wordWrap/>
        <w:overflowPunct/>
        <w:topLinePunct w:val="0"/>
        <w:bidi w:val="0"/>
        <w:snapToGrid/>
        <w:spacing w:before="0" w:beforeAutospacing="0" w:after="0" w:afterAutospacing="0" w:line="360" w:lineRule="auto"/>
        <w:textAlignment w:val="auto"/>
        <w:rPr>
          <w:b/>
        </w:rPr>
      </w:pPr>
      <w:bookmarkStart w:id="32" w:name="_Toc24820"/>
      <w:r>
        <w:rPr>
          <w:b/>
        </w:rPr>
        <w:t>2.2.2 Service quality toward customer satisfaction.</w:t>
      </w:r>
      <w:bookmarkEnd w:id="32"/>
    </w:p>
    <w:p w14:paraId="4845885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The connection between customer satisfaction and quality of service is arguable. Several scientists asserted that quality of service is the precedent of customer satisfaction, while others said the opposite </w:t>
      </w:r>
      <w:sdt>
        <w:sdtPr>
          <w:rPr>
            <w:rFonts w:ascii="Times New Roman" w:hAnsi="Times New Roman" w:cs="Times New Roman"/>
            <w:sz w:val="24"/>
            <w:szCs w:val="24"/>
          </w:rPr>
          <w:id w:val="-110079289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Kha19 \l 1033 </w:instrText>
          </w:r>
          <w:r>
            <w:rPr>
              <w:rFonts w:ascii="Times New Roman" w:hAnsi="Times New Roman" w:cs="Times New Roman"/>
              <w:sz w:val="24"/>
              <w:szCs w:val="24"/>
            </w:rPr>
            <w:fldChar w:fldCharType="separate"/>
          </w:r>
          <w:r>
            <w:rPr>
              <w:rFonts w:ascii="Times New Roman" w:hAnsi="Times New Roman" w:cs="Times New Roman"/>
              <w:sz w:val="24"/>
              <w:szCs w:val="24"/>
            </w:rPr>
            <w:t>(Khatib Esmael, 2019)</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and others said quality of service is either interconnected with service or separate ideas. Customer satisfaction depends on the consumer experience while utilizing the services. Therefore, firms ensure that their customers have a memorable and delightful experience while consuming the services. Some studies have argued that since satisfaction depends on transactions, attitudes towards a product will have more enduring effect on the image of firms </w:t>
      </w:r>
      <w:sdt>
        <w:sdtPr>
          <w:rPr>
            <w:rFonts w:ascii="Times New Roman" w:hAnsi="Times New Roman" w:cs="Times New Roman"/>
            <w:sz w:val="24"/>
            <w:szCs w:val="24"/>
          </w:rPr>
          <w:id w:val="83218438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Aro14 \l 1033 </w:instrText>
          </w:r>
          <w:r>
            <w:rPr>
              <w:rFonts w:ascii="Times New Roman" w:hAnsi="Times New Roman" w:cs="Times New Roman"/>
              <w:sz w:val="24"/>
              <w:szCs w:val="24"/>
            </w:rPr>
            <w:fldChar w:fldCharType="separate"/>
          </w:r>
          <w:r>
            <w:rPr>
              <w:rFonts w:ascii="Times New Roman" w:hAnsi="Times New Roman" w:cs="Times New Roman"/>
              <w:sz w:val="24"/>
              <w:szCs w:val="24"/>
            </w:rPr>
            <w:t>(Arokiasamy &amp;Tat,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Others believe that service quality has a greater impact on consumer satisfaction than product and price. Improved service quality by banks helps in developing attitudinal loyalty which is a prerequisite for customer retention. Thus, service quality has a strong influence on customer satisfaction </w:t>
      </w:r>
      <w:sdt>
        <w:sdtPr>
          <w:rPr>
            <w:rFonts w:ascii="Times New Roman" w:hAnsi="Times New Roman" w:cs="Times New Roman"/>
            <w:sz w:val="24"/>
            <w:szCs w:val="24"/>
          </w:rPr>
          <w:id w:val="-1094237604"/>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Bha13 \l 1033 </w:instrText>
          </w:r>
          <w:r>
            <w:rPr>
              <w:rFonts w:ascii="Times New Roman" w:hAnsi="Times New Roman" w:cs="Times New Roman"/>
              <w:sz w:val="24"/>
              <w:szCs w:val="24"/>
            </w:rPr>
            <w:fldChar w:fldCharType="separate"/>
          </w:r>
          <w:r>
            <w:rPr>
              <w:rFonts w:ascii="Times New Roman" w:hAnsi="Times New Roman" w:cs="Times New Roman"/>
              <w:sz w:val="24"/>
              <w:szCs w:val="24"/>
            </w:rPr>
            <w:t>(Bharwana, 2013)</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4719068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41B54C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In addition, service quality is also considered an important tool for developing and maintaining sustaining relationship with customers. It is more important for banks and financial institutions as they have few options for creating product differentiation </w:t>
      </w:r>
      <w:sdt>
        <w:sdtPr>
          <w:rPr>
            <w:rFonts w:ascii="Times New Roman" w:hAnsi="Times New Roman" w:cs="Times New Roman"/>
            <w:sz w:val="24"/>
            <w:szCs w:val="24"/>
          </w:rPr>
          <w:id w:val="-38571998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ALA15 \l 1033 </w:instrText>
          </w:r>
          <w:r>
            <w:rPr>
              <w:rFonts w:ascii="Times New Roman" w:hAnsi="Times New Roman" w:cs="Times New Roman"/>
              <w:sz w:val="24"/>
              <w:szCs w:val="24"/>
            </w:rPr>
            <w:fldChar w:fldCharType="separate"/>
          </w:r>
          <w:r>
            <w:rPr>
              <w:rFonts w:ascii="Times New Roman" w:hAnsi="Times New Roman" w:cs="Times New Roman"/>
              <w:sz w:val="24"/>
              <w:szCs w:val="24"/>
            </w:rPr>
            <w:t>(AL-Azzam, 2015)</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Lower perceived quality results in higher dissatisfaction </w:t>
      </w:r>
      <w:sdt>
        <w:sdtPr>
          <w:rPr>
            <w:rFonts w:ascii="Times New Roman" w:hAnsi="Times New Roman" w:cs="Times New Roman"/>
            <w:sz w:val="24"/>
            <w:szCs w:val="24"/>
          </w:rPr>
          <w:id w:val="323781970"/>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Oma15 \l 1033 </w:instrText>
          </w:r>
          <w:r>
            <w:rPr>
              <w:rFonts w:ascii="Times New Roman" w:hAnsi="Times New Roman" w:cs="Times New Roman"/>
              <w:sz w:val="24"/>
              <w:szCs w:val="24"/>
            </w:rPr>
            <w:fldChar w:fldCharType="separate"/>
          </w:r>
          <w:r>
            <w:rPr>
              <w:rFonts w:ascii="Times New Roman" w:hAnsi="Times New Roman" w:cs="Times New Roman"/>
              <w:sz w:val="24"/>
              <w:szCs w:val="24"/>
            </w:rPr>
            <w:t>(Omar, 2015)</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While examining the effect of service quality on satisfaction, some studies have found that service quality does not affect satisfaction as it is an antecedent to satisfaction. Others maintain that customer satisfaction is the end result of service quality </w:t>
      </w:r>
      <w:sdt>
        <w:sdtPr>
          <w:rPr>
            <w:rFonts w:ascii="Times New Roman" w:hAnsi="Times New Roman" w:cs="Times New Roman"/>
            <w:sz w:val="24"/>
            <w:szCs w:val="24"/>
          </w:rPr>
          <w:id w:val="-44076405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Hus14 \l 1033 </w:instrText>
          </w:r>
          <w:r>
            <w:rPr>
              <w:rFonts w:ascii="Times New Roman" w:hAnsi="Times New Roman" w:cs="Times New Roman"/>
              <w:sz w:val="24"/>
              <w:szCs w:val="24"/>
            </w:rPr>
            <w:fldChar w:fldCharType="separate"/>
          </w:r>
          <w:r>
            <w:rPr>
              <w:rFonts w:ascii="Times New Roman" w:hAnsi="Times New Roman" w:cs="Times New Roman"/>
              <w:sz w:val="24"/>
              <w:szCs w:val="24"/>
            </w:rPr>
            <w:t>(Hussein, 2014)</w:t>
          </w:r>
          <w:r>
            <w:rPr>
              <w:rFonts w:ascii="Times New Roman" w:hAnsi="Times New Roman" w:cs="Times New Roman"/>
              <w:sz w:val="24"/>
              <w:szCs w:val="24"/>
            </w:rPr>
            <w:fldChar w:fldCharType="end"/>
          </w:r>
        </w:sdtContent>
      </w:sdt>
      <w:r>
        <w:rPr>
          <w:rFonts w:ascii="Times New Roman" w:hAnsi="Times New Roman" w:cs="Times New Roman"/>
          <w:sz w:val="24"/>
          <w:szCs w:val="24"/>
        </w:rPr>
        <w:t>. Banking sector thus makes deliberate efforts for providing premium services to its customers. Firms perpetually measure and monitor their services quality for ensuring that their customers are highly satisfied and loyal to them. If banks meet customer demands and expectations then they would not have any problem in having a high-level customer base</w:t>
      </w:r>
      <w:sdt>
        <w:sdtPr>
          <w:rPr>
            <w:rFonts w:ascii="Times New Roman" w:hAnsi="Times New Roman" w:cs="Times New Roman"/>
            <w:sz w:val="24"/>
            <w:szCs w:val="24"/>
          </w:rPr>
          <w:id w:val="854768850"/>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Sur14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(Sureshbab, 2014)</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1CDB640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21F7A1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5EFB3A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If the overall experience of customers is positive it is an indication that they are highly satisfied. In this context, studies also found that satisfaction alone might not guarantee repurchase, customer retention or loyalty. The other marketing factors are important as well. Whilst validating the effect of service quality on satisfaction some studies found that a higher satisfaction level leads to higher retention and brand loyalty. Banks have little margin to play with because of competition and statutory regulations. Therefore, they are highly dependent on service quality for retention of customers, developing brand loyalty and earning higher profits </w:t>
      </w:r>
      <w:sdt>
        <w:sdtPr>
          <w:rPr>
            <w:rFonts w:ascii="Times New Roman" w:hAnsi="Times New Roman" w:cs="Times New Roman"/>
            <w:sz w:val="24"/>
            <w:szCs w:val="24"/>
          </w:rPr>
          <w:id w:val="1185097068"/>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Kha14 \l 1033 </w:instrText>
          </w:r>
          <w:r>
            <w:rPr>
              <w:rFonts w:ascii="Times New Roman" w:hAnsi="Times New Roman" w:cs="Times New Roman"/>
              <w:sz w:val="24"/>
              <w:szCs w:val="24"/>
            </w:rPr>
            <w:fldChar w:fldCharType="separate"/>
          </w:r>
          <w:r>
            <w:rPr>
              <w:rFonts w:ascii="Times New Roman" w:hAnsi="Times New Roman" w:cs="Times New Roman"/>
              <w:sz w:val="24"/>
              <w:szCs w:val="24"/>
            </w:rPr>
            <w:t>(Khan,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14:paraId="0FBC396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60F1D8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Although satisfaction and services are highly correlated but they are different concepts. The former is a broader concept, whereas the latter mainly focuses on dimensions of service quality. Factors such as product and price influence satisfaction but their effects are not as strong as service quality </w:t>
      </w:r>
      <w:sdt>
        <w:sdtPr>
          <w:rPr>
            <w:rFonts w:ascii="Times New Roman" w:hAnsi="Times New Roman" w:cs="Times New Roman"/>
            <w:sz w:val="24"/>
            <w:szCs w:val="24"/>
          </w:rPr>
          <w:id w:val="94619219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Aro14 \l 1033 </w:instrText>
          </w:r>
          <w:r>
            <w:rPr>
              <w:rFonts w:ascii="Times New Roman" w:hAnsi="Times New Roman" w:cs="Times New Roman"/>
              <w:sz w:val="24"/>
              <w:szCs w:val="24"/>
            </w:rPr>
            <w:fldChar w:fldCharType="separate"/>
          </w:r>
          <w:r>
            <w:rPr>
              <w:rFonts w:ascii="Times New Roman" w:hAnsi="Times New Roman" w:cs="Times New Roman"/>
              <w:sz w:val="24"/>
              <w:szCs w:val="24"/>
            </w:rPr>
            <w:t>(Arokiasamy &amp;Tat, 2014)</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20807D0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29F2E43">
      <w:pPr>
        <w:pStyle w:val="2"/>
        <w:pageBreakBefore w:val="0"/>
        <w:kinsoku/>
        <w:wordWrap/>
        <w:overflowPunct/>
        <w:topLinePunct w:val="0"/>
        <w:bidi w:val="0"/>
        <w:snapToGrid/>
        <w:spacing w:before="0" w:beforeAutospacing="0" w:after="0" w:afterAutospacing="0" w:line="360" w:lineRule="auto"/>
        <w:textAlignment w:val="auto"/>
        <w:rPr>
          <w:b/>
        </w:rPr>
      </w:pPr>
      <w:bookmarkStart w:id="33" w:name="_Toc2769"/>
      <w:r>
        <w:rPr>
          <w:b/>
        </w:rPr>
        <w:t>2.2.3 Perceived performance toward satisfaction</w:t>
      </w:r>
      <w:bookmarkEnd w:id="33"/>
    </w:p>
    <w:p w14:paraId="65E9B65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According to</w:t>
      </w:r>
      <w:sdt>
        <w:sdtPr>
          <w:rPr>
            <w:rFonts w:ascii="Times New Roman" w:hAnsi="Times New Roman" w:cs="Times New Roman"/>
            <w:sz w:val="24"/>
            <w:szCs w:val="24"/>
          </w:rPr>
          <w:id w:val="-818410235"/>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She13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(Shed Chinwuba Moguluwa, 2013)</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keeping in view the significance of customer perceived quality in today’s competitive banking environment, the study was designed to evaluate customer-perceived service quality and customer satisfaction in the Nigerian banking industry. This research focused on the measurement of customer satisfaction through delivery service quality in the banking sector in Nigeria. A quantitative research was used to study the relationship between service quality dimension and customer satisfaction. findings from the of study show that, assurance, empathy and responsiveness have positive relationships but have no significant effect on customer satisfaction. reliability has negative relationship but has no significant effect on customer satisfaction. Tangibles have positive relationship and have significance impact on customer satisfaction. conclusively a business that caters for their customers needs will inevitably gain loyalty of their customers, thus resulting in repeat business as well as potential referrals. We therefore recommend that rather than paying much attention to the products and services, banks should focus more on their customers.</w:t>
      </w:r>
    </w:p>
    <w:p w14:paraId="0BC5F31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A78719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In this turbulent and competitive environment, organization, in order to sustain their growth and increase their market share, need to understand how to satisfy customers as it plays a primary role since customer satisfaction is critical for establishing long- term client relationship. This is evident from the increased number of customer satisfaction surveys by service organizations. Thus, a fundamental understanding of great importance to service organizations, especial banks. Satisfaction of the customer depends on the quality of service. Research in this area suggests that service quality is an important indicator of customer satisfaction. service quality of late has emerged as the major attraction to many banks as a competitive differentiator </w:t>
      </w:r>
      <w:sdt>
        <w:sdtPr>
          <w:rPr>
            <w:rFonts w:ascii="Times New Roman" w:hAnsi="Times New Roman" w:cs="Times New Roman"/>
            <w:sz w:val="24"/>
            <w:szCs w:val="24"/>
          </w:rPr>
          <w:id w:val="45853706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New01 \l 1033 </w:instrText>
          </w:r>
          <w:r>
            <w:rPr>
              <w:rFonts w:ascii="Times New Roman" w:hAnsi="Times New Roman" w:cs="Times New Roman"/>
              <w:sz w:val="24"/>
              <w:szCs w:val="24"/>
            </w:rPr>
            <w:fldChar w:fldCharType="separate"/>
          </w:r>
          <w:r>
            <w:rPr>
              <w:rFonts w:ascii="Times New Roman" w:hAnsi="Times New Roman" w:cs="Times New Roman"/>
              <w:sz w:val="24"/>
              <w:szCs w:val="24"/>
            </w:rPr>
            <w:t>(Newman, 2001)</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Measuring the customer satisfaction helps banks to understand the customers needs and can thus change strategies accordingly. Customer satisfaction is defined as the result of a cognitive and affective evaluation, wherein a standard comparison is adopted for the actually perceived performance. If the perceived performance is less than expected, customers will be dissatisfied and on other hand, if the perceived performance exceeds expectations, customer will be delighted </w:t>
      </w:r>
      <w:sdt>
        <w:sdtPr>
          <w:rPr>
            <w:rFonts w:ascii="Times New Roman" w:hAnsi="Times New Roman" w:cs="Times New Roman"/>
            <w:sz w:val="24"/>
            <w:szCs w:val="24"/>
          </w:rPr>
          <w:id w:val="93679653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Kot01 \l 1033 </w:instrText>
          </w:r>
          <w:r>
            <w:rPr>
              <w:rFonts w:ascii="Times New Roman" w:hAnsi="Times New Roman" w:cs="Times New Roman"/>
              <w:sz w:val="24"/>
              <w:szCs w:val="24"/>
            </w:rPr>
            <w:fldChar w:fldCharType="separate"/>
          </w:r>
          <w:r>
            <w:rPr>
              <w:rFonts w:ascii="Times New Roman" w:hAnsi="Times New Roman" w:cs="Times New Roman"/>
              <w:sz w:val="24"/>
              <w:szCs w:val="24"/>
            </w:rPr>
            <w:t>(Kotler &amp;Armstrong, 2001)</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5F59F12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6E3788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Despite these contributions, gaps exists in understanding which specific aspects of perceived performance have the greatest impact on satisfaction. further investigation is needed to elucidate the relative importance of different service quality dimension and their interaction effects on satisfaction outcomes. By critically analyzing existing literature, this empirical review aims to identify these gaps and provide direction for future research in this area.</w:t>
      </w:r>
    </w:p>
    <w:p w14:paraId="764A335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792A379">
      <w:pPr>
        <w:pStyle w:val="2"/>
        <w:pageBreakBefore w:val="0"/>
        <w:kinsoku/>
        <w:wordWrap/>
        <w:overflowPunct/>
        <w:topLinePunct w:val="0"/>
        <w:bidi w:val="0"/>
        <w:snapToGrid/>
        <w:spacing w:before="0" w:beforeAutospacing="0" w:after="0" w:afterAutospacing="0" w:line="360" w:lineRule="auto"/>
        <w:textAlignment w:val="auto"/>
        <w:rPr>
          <w:b/>
        </w:rPr>
      </w:pPr>
      <w:bookmarkStart w:id="34" w:name="_Toc10191"/>
      <w:r>
        <w:rPr>
          <w:b/>
        </w:rPr>
        <w:t>2.2.4 Expectations toward satisfactions</w:t>
      </w:r>
      <w:bookmarkEnd w:id="34"/>
    </w:p>
    <w:p w14:paraId="6CB59572">
      <w:pPr>
        <w:pageBreakBefore w:val="0"/>
        <w:kinsoku/>
        <w:wordWrap/>
        <w:overflowPunct/>
        <w:topLinePunct w:val="0"/>
        <w:bidi w:val="0"/>
        <w:snapToGrid/>
        <w:spacing w:beforeAutospacing="0" w:after="0" w:afterAutospacing="0" w:line="360" w:lineRule="auto"/>
        <w:ind w:right="46"/>
        <w:jc w:val="both"/>
        <w:textAlignment w:val="auto"/>
        <w:rPr>
          <w:rFonts w:ascii="Times New Roman" w:hAnsi="Times New Roman" w:cs="Times New Roman"/>
          <w:sz w:val="24"/>
          <w:szCs w:val="24"/>
        </w:rPr>
      </w:pPr>
      <w:r>
        <w:rPr>
          <w:rFonts w:ascii="Times New Roman" w:hAnsi="Times New Roman" w:cs="Times New Roman"/>
          <w:sz w:val="24"/>
          <w:szCs w:val="24"/>
        </w:rPr>
        <w:t>A review of the literature suggest that consumers may use multiple types of expectation in their satisfaction evaluation process. However the types most often referred to are predictive expectation and normative expectation. Predictive expectation are generally define as consumer beliefs about the level of service that a specific service firm would be likely to offer. these expectations are frequently used as standard of service against which satisfaction judgment are mad Normative expectation are generally conceptualized as consumers ideals level of service which can be referred as desires too. Additionally, Customers’ expectations are key determinants of their consumption experiences, satisfaction, and loyalty</w:t>
      </w:r>
      <w:sdt>
        <w:sdtPr>
          <w:rPr>
            <w:rFonts w:ascii="Times New Roman" w:hAnsi="Times New Roman" w:cs="Times New Roman"/>
            <w:sz w:val="24"/>
            <w:szCs w:val="24"/>
          </w:rPr>
          <w:id w:val="-1634706118"/>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Ofi07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(Simonson, 2007)</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p>
    <w:p w14:paraId="2D977CCB">
      <w:pPr>
        <w:pageBreakBefore w:val="0"/>
        <w:kinsoku/>
        <w:wordWrap/>
        <w:overflowPunct/>
        <w:topLinePunct w:val="0"/>
        <w:bidi w:val="0"/>
        <w:snapToGrid/>
        <w:spacing w:beforeAutospacing="0" w:after="0" w:afterAutospacing="0" w:line="360" w:lineRule="auto"/>
        <w:ind w:right="46"/>
        <w:jc w:val="both"/>
        <w:textAlignment w:val="auto"/>
        <w:rPr>
          <w:rFonts w:ascii="Times New Roman" w:hAnsi="Times New Roman" w:cs="Times New Roman"/>
          <w:sz w:val="24"/>
          <w:szCs w:val="24"/>
        </w:rPr>
      </w:pPr>
      <w:r>
        <w:rPr>
          <w:rFonts w:ascii="Times New Roman" w:hAnsi="Times New Roman" w:cs="Times New Roman"/>
          <w:sz w:val="24"/>
          <w:szCs w:val="24"/>
        </w:rPr>
        <w:t xml:space="preserve"> Despite these contributions, the remain gaps in understanding the nuances of how organizations can effectively manage and meet customer expectations to enhance satisfaction levels. For instance, while some studies focus on specific industries or contexts, broader research is needed to generalize findings, across diverse sectors. Additionally, limited attention has been given to the role of emerging technologies and digital platforms in shaping customer expectations and satisfaction.</w:t>
      </w:r>
    </w:p>
    <w:p w14:paraId="1DF66FF4">
      <w:pPr>
        <w:pageBreakBefore w:val="0"/>
        <w:kinsoku/>
        <w:wordWrap/>
        <w:overflowPunct/>
        <w:topLinePunct w:val="0"/>
        <w:bidi w:val="0"/>
        <w:snapToGrid/>
        <w:spacing w:beforeAutospacing="0" w:after="0" w:afterAutospacing="0" w:line="360" w:lineRule="auto"/>
        <w:ind w:right="46"/>
        <w:jc w:val="both"/>
        <w:textAlignment w:val="auto"/>
        <w:rPr>
          <w:rFonts w:ascii="Times New Roman" w:hAnsi="Times New Roman" w:cs="Times New Roman"/>
          <w:sz w:val="24"/>
          <w:szCs w:val="24"/>
        </w:rPr>
      </w:pPr>
    </w:p>
    <w:p w14:paraId="44739F68">
      <w:pPr>
        <w:pStyle w:val="2"/>
        <w:pageBreakBefore w:val="0"/>
        <w:kinsoku/>
        <w:wordWrap/>
        <w:overflowPunct/>
        <w:topLinePunct w:val="0"/>
        <w:bidi w:val="0"/>
        <w:snapToGrid/>
        <w:spacing w:before="0" w:beforeAutospacing="0" w:after="0" w:afterAutospacing="0" w:line="360" w:lineRule="auto"/>
        <w:jc w:val="both"/>
        <w:textAlignment w:val="auto"/>
        <w:rPr>
          <w:b/>
        </w:rPr>
      </w:pPr>
      <w:bookmarkStart w:id="35" w:name="_Toc8771"/>
      <w:r>
        <w:rPr>
          <w:b/>
        </w:rPr>
        <w:t>2.2.5 Disconfirmation toward satisfaction</w:t>
      </w:r>
      <w:bookmarkEnd w:id="35"/>
    </w:p>
    <w:p w14:paraId="7DAC5FF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study tends to highlight how individual tend to seek out information that confirms their existing beliefs while disregarding contradictory evidence. In the context of service experiences. This bias can lead customers to interpret ambiguous or mixed signals in a manner that aligns with their preconceived notions, influencing their satisfaction judgments.</w:t>
      </w:r>
    </w:p>
    <w:p w14:paraId="48ACA5F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F40E6F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According to </w:t>
      </w:r>
      <w:sdt>
        <w:sdtPr>
          <w:rPr>
            <w:rFonts w:ascii="Times New Roman" w:hAnsi="Times New Roman" w:cs="Times New Roman"/>
            <w:sz w:val="24"/>
            <w:szCs w:val="24"/>
          </w:rPr>
          <w:id w:val="1685702068"/>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Smi02 \l 1033 </w:instrText>
          </w:r>
          <w:r>
            <w:rPr>
              <w:rFonts w:ascii="Times New Roman" w:hAnsi="Times New Roman" w:cs="Times New Roman"/>
              <w:sz w:val="24"/>
              <w:szCs w:val="24"/>
            </w:rPr>
            <w:fldChar w:fldCharType="separate"/>
          </w:r>
          <w:r>
            <w:rPr>
              <w:rFonts w:ascii="Times New Roman" w:hAnsi="Times New Roman" w:cs="Times New Roman"/>
              <w:sz w:val="24"/>
              <w:szCs w:val="24"/>
            </w:rPr>
            <w:t>(Smith, 2002)</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emphasize the importance of managing customer expectations to mitigate the effects of disconfirmation belief on satisfaction outcomes. Their research suggests that proactive communication and transparency can help align customers expectations with the actual satisfaction levels.</w:t>
      </w:r>
    </w:p>
    <w:p w14:paraId="449677E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Despite these contributions, gaps exist in the literature regarding the mechanisms through which disconfirmation occurs and its implications for satisfaction. further investigation is needed to elucidate the cognitive processes underlying this phenomenon and its influence on customer satisfaction in various service contexts. By critically analyzing existing literature, this empirical review aim to identify these gaps and provide direction for future research in this area.</w:t>
      </w:r>
    </w:p>
    <w:p w14:paraId="7D2B821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D2EE7EE">
      <w:pPr>
        <w:pStyle w:val="2"/>
        <w:pageBreakBefore w:val="0"/>
        <w:kinsoku/>
        <w:wordWrap/>
        <w:overflowPunct/>
        <w:topLinePunct w:val="0"/>
        <w:bidi w:val="0"/>
        <w:snapToGrid/>
        <w:spacing w:before="0" w:beforeAutospacing="0" w:after="0" w:afterAutospacing="0" w:line="360" w:lineRule="auto"/>
        <w:textAlignment w:val="auto"/>
        <w:rPr>
          <w:b/>
        </w:rPr>
      </w:pPr>
      <w:bookmarkStart w:id="36" w:name="_Toc6929"/>
      <w:r>
        <w:rPr>
          <w:b/>
        </w:rPr>
        <w:t>2.3 Theoretical framework or research models</w:t>
      </w:r>
      <w:bookmarkEnd w:id="36"/>
    </w:p>
    <w:p w14:paraId="5D90821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purpose of the study is to investigate the service quality to customer satisfaction among customers at CRDB bank in Temeke branch. A modified theory of expectancy disconfirmation is utilized to ascertain the functional of service quality in financial institution industry.</w:t>
      </w:r>
    </w:p>
    <w:p w14:paraId="5A9E190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159ECB4">
      <w:pPr>
        <w:pStyle w:val="2"/>
        <w:pageBreakBefore w:val="0"/>
        <w:kinsoku/>
        <w:wordWrap/>
        <w:overflowPunct/>
        <w:topLinePunct w:val="0"/>
        <w:bidi w:val="0"/>
        <w:snapToGrid/>
        <w:spacing w:before="0" w:beforeAutospacing="0" w:after="0" w:afterAutospacing="0" w:line="360" w:lineRule="auto"/>
        <w:textAlignment w:val="auto"/>
        <w:rPr>
          <w:b/>
        </w:rPr>
      </w:pPr>
      <w:bookmarkStart w:id="37" w:name="_Toc8918"/>
      <w:r>
        <w:rPr>
          <w:b/>
        </w:rPr>
        <w:t>2.4 conceptual framework</w:t>
      </w:r>
      <w:bookmarkEnd w:id="37"/>
      <w:r>
        <w:rPr>
          <w:b/>
        </w:rPr>
        <w:t xml:space="preserve"> </w:t>
      </w:r>
    </w:p>
    <w:p w14:paraId="33F5A70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Disconfirmation theory occurs as a result of comparing service performance against expectation, it’s the best predictor of customer satisfaction</w:t>
      </w:r>
      <w:sdt>
        <w:sdtPr>
          <w:rPr>
            <w:rFonts w:ascii="Times New Roman" w:hAnsi="Times New Roman" w:cs="Times New Roman"/>
            <w:sz w:val="24"/>
            <w:szCs w:val="24"/>
          </w:rPr>
          <w:id w:val="528621300"/>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Eki04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(Ekinci, 2004)</w:t>
          </w:r>
          <w:r>
            <w:rPr>
              <w:rFonts w:ascii="Times New Roman" w:hAnsi="Times New Roman" w:cs="Times New Roman"/>
              <w:sz w:val="24"/>
              <w:szCs w:val="24"/>
            </w:rPr>
            <w:fldChar w:fldCharType="end"/>
          </w:r>
        </w:sdtContent>
      </w:sdt>
      <w:r>
        <w:rPr>
          <w:rFonts w:ascii="Times New Roman" w:hAnsi="Times New Roman" w:cs="Times New Roman"/>
          <w:sz w:val="24"/>
          <w:szCs w:val="24"/>
        </w:rPr>
        <w:t>. Basically, satisfaction is the result of direct experiences with products or services and its occurs by comparing perception against a standard.</w:t>
      </w:r>
    </w:p>
    <w:p w14:paraId="5179E1E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 xml:space="preserve">  Figure 1; Conceptual Framework</w:t>
      </w:r>
    </w:p>
    <w:p w14:paraId="71A2710E">
      <w:pPr>
        <w:pageBreakBefore w:val="0"/>
        <w:kinsoku/>
        <w:wordWrap/>
        <w:overflowPunct/>
        <w:topLinePunct w:val="0"/>
        <w:bidi w:val="0"/>
        <w:snapToGrid/>
        <w:spacing w:beforeAutospacing="0" w:after="0" w:afterAutospacing="0" w:line="360" w:lineRule="auto"/>
        <w:jc w:val="center"/>
        <w:textAlignment w:val="auto"/>
        <w:rPr>
          <w:rFonts w:ascii="Times New Roman" w:hAnsi="Times New Roman" w:cs="Times New Roman"/>
          <w:b/>
          <w:sz w:val="24"/>
          <w:szCs w:val="24"/>
        </w:rPr>
      </w:pPr>
      <w:r>
        <w:rPr>
          <w:rFonts w:ascii="Times New Roman" w:hAnsi="Times New Roman" w:cs="Times New Roman"/>
          <w:b/>
          <w:sz w:val="24"/>
          <w:szCs w:val="24"/>
        </w:rPr>
        <w:t>Independent variables                                                                    Dependent variables</w:t>
      </w:r>
    </w:p>
    <w:p w14:paraId="671D4B0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 xml:space="preserve">  </w:t>
      </w:r>
    </w:p>
    <w:p w14:paraId="6524446A">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2336" behindDoc="0" locked="0" layoutInCell="1" allowOverlap="1">
                <wp:simplePos x="0" y="0"/>
                <wp:positionH relativeFrom="margin">
                  <wp:posOffset>3690620</wp:posOffset>
                </wp:positionH>
                <wp:positionV relativeFrom="paragraph">
                  <wp:posOffset>167640</wp:posOffset>
                </wp:positionV>
                <wp:extent cx="1851660" cy="1147445"/>
                <wp:effectExtent l="6350" t="6350" r="8890" b="8255"/>
                <wp:wrapNone/>
                <wp:docPr id="5" name="Rectangle: Rounded Corners 5"/>
                <wp:cNvGraphicFramePr/>
                <a:graphic xmlns:a="http://schemas.openxmlformats.org/drawingml/2006/main">
                  <a:graphicData uri="http://schemas.microsoft.com/office/word/2010/wordprocessingShape">
                    <wps:wsp>
                      <wps:cNvSpPr/>
                      <wps:spPr>
                        <a:xfrm>
                          <a:off x="0" y="0"/>
                          <a:ext cx="1851660" cy="1147313"/>
                        </a:xfrm>
                        <a:prstGeom prst="roundRect">
                          <a:avLst/>
                        </a:prstGeom>
                      </wps:spPr>
                      <wps:style>
                        <a:lnRef idx="2">
                          <a:schemeClr val="dk1"/>
                        </a:lnRef>
                        <a:fillRef idx="1">
                          <a:schemeClr val="lt1"/>
                        </a:fillRef>
                        <a:effectRef idx="0">
                          <a:schemeClr val="dk1"/>
                        </a:effectRef>
                        <a:fontRef idx="minor">
                          <a:schemeClr val="dk1"/>
                        </a:fontRef>
                      </wps:style>
                      <wps:txbx>
                        <w:txbxContent>
                          <w:p w14:paraId="0191EDF3">
                            <w:pPr>
                              <w:jc w:val="center"/>
                              <w:rPr>
                                <w:rFonts w:ascii="Times New Roman" w:hAnsi="Times New Roman" w:cs="Times New Roman"/>
                              </w:rPr>
                            </w:pPr>
                            <w:r>
                              <w:rPr>
                                <w:rFonts w:ascii="Times New Roman" w:hAnsi="Times New Roman" w:cs="Times New Roman"/>
                              </w:rPr>
                              <w:t xml:space="preserve">Customer satisfactions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ectangle: Rounded Corners 5" o:spid="_x0000_s1026" o:spt="2" style="position:absolute;left:0pt;margin-left:290.6pt;margin-top:13.2pt;height:90.35pt;width:145.8pt;mso-position-horizontal-relative:margin;z-index:251662336;v-text-anchor:middle;mso-width-relative:page;mso-height-relative:page;" fillcolor="#FFFFFF [3201]" filled="t" stroked="t" coordsize="21600,21600" arcsize="0.166666666666667" o:gfxdata="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geyWn9gAAAAKAQAADwAAAAAAAAABACAAAAAiAAAA&#10;ZHJzL2Rvd25yZXYueG1sUEsBAhQAFAAAAAgAh07iQFM/ln95AgAAGQUAAA4AAAAAAAAAAQAgAAAA&#10;JwEAAGRycy9lMm9Eb2MueG1sUEsFBgAAAAAGAAYAWQEAABIGAAAAAA==&#10;">
                <v:fill on="t" focussize="0,0"/>
                <v:stroke weight="1pt" color="#000000 [3200]" miterlimit="8" joinstyle="miter"/>
                <v:imagedata o:title=""/>
                <o:lock v:ext="edit" aspectratio="f"/>
                <v:textbox>
                  <w:txbxContent>
                    <w:p w14:paraId="0191EDF3">
                      <w:pPr>
                        <w:jc w:val="center"/>
                        <w:rPr>
                          <w:rFonts w:ascii="Times New Roman" w:hAnsi="Times New Roman" w:cs="Times New Roman"/>
                        </w:rPr>
                      </w:pPr>
                      <w:r>
                        <w:rPr>
                          <w:rFonts w:ascii="Times New Roman" w:hAnsi="Times New Roman" w:cs="Times New Roman"/>
                        </w:rPr>
                        <w:t xml:space="preserve">Customer satisfactions </w:t>
                      </w:r>
                    </w:p>
                  </w:txbxContent>
                </v:textbox>
              </v:roundrect>
            </w:pict>
          </mc:Fallback>
        </mc:AlternateContent>
      </w:r>
      <w:r>
        <w:rPr>
          <w:rFonts w:ascii="Times New Roman" w:hAnsi="Times New Roman" w:cs="Times New Roman"/>
          <w:sz w:val="24"/>
          <w:szCs w:val="24"/>
        </w:rPr>
        <w:tab/>
      </w:r>
      <w:r>
        <w:rPr>
          <w:rFonts w:ascii="Times New Roman" w:hAnsi="Times New Roman" w:cs="Times New Roman"/>
          <w:sz w:val="24"/>
          <w:szCs w:val="24"/>
        </w:rPr>
        <w:t xml:space="preserve">  </w:t>
      </w:r>
    </w:p>
    <w:p w14:paraId="27362A08">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59264" behindDoc="0" locked="0" layoutInCell="1" allowOverlap="1">
                <wp:simplePos x="0" y="0"/>
                <wp:positionH relativeFrom="margin">
                  <wp:align>left</wp:align>
                </wp:positionH>
                <wp:positionV relativeFrom="paragraph">
                  <wp:posOffset>130175</wp:posOffset>
                </wp:positionV>
                <wp:extent cx="1552575" cy="509270"/>
                <wp:effectExtent l="0" t="0" r="28575" b="24765"/>
                <wp:wrapNone/>
                <wp:docPr id="2" name="Rectangle: Rounded Corners 2"/>
                <wp:cNvGraphicFramePr/>
                <a:graphic xmlns:a="http://schemas.openxmlformats.org/drawingml/2006/main">
                  <a:graphicData uri="http://schemas.microsoft.com/office/word/2010/wordprocessingShape">
                    <wps:wsp>
                      <wps:cNvSpPr/>
                      <wps:spPr>
                        <a:xfrm>
                          <a:off x="0" y="0"/>
                          <a:ext cx="1552575" cy="508959"/>
                        </a:xfrm>
                        <a:prstGeom prst="roundRect">
                          <a:avLst/>
                        </a:prstGeom>
                      </wps:spPr>
                      <wps:style>
                        <a:lnRef idx="2">
                          <a:schemeClr val="dk1"/>
                        </a:lnRef>
                        <a:fillRef idx="1">
                          <a:schemeClr val="lt1"/>
                        </a:fillRef>
                        <a:effectRef idx="0">
                          <a:schemeClr val="dk1"/>
                        </a:effectRef>
                        <a:fontRef idx="minor">
                          <a:schemeClr val="dk1"/>
                        </a:fontRef>
                      </wps:style>
                      <wps:txbx>
                        <w:txbxContent>
                          <w:p w14:paraId="0208F927">
                            <w:pPr>
                              <w:jc w:val="center"/>
                              <w:rPr>
                                <w:rFonts w:ascii="Times New Roman" w:hAnsi="Times New Roman" w:cs="Times New Roman"/>
                              </w:rPr>
                            </w:pPr>
                            <w:r>
                              <w:rPr>
                                <w:rFonts w:ascii="Times New Roman" w:hAnsi="Times New Roman" w:cs="Times New Roman"/>
                              </w:rPr>
                              <w:t>Expectations</w:t>
                            </w:r>
                          </w:p>
                          <w:p w14:paraId="0DAE19F9">
                            <w:pPr>
                              <w:jc w:val="center"/>
                            </w:pPr>
                            <w:r>
                              <w:t xml:space="preserve"> </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ectangle: Rounded Corners 2" o:spid="_x0000_s1026" o:spt="2" style="position:absolute;left:0pt;margin-top:10.25pt;height:40.1pt;width:122.25pt;mso-position-horizontal:left;mso-position-horizontal-relative:margin;z-index:251659264;v-text-anchor:middle;mso-width-relative:page;mso-height-relative:page;" fillcolor="#FFFFFF [3201]" filled="t" stroked="t" coordsize="21600,21600" arcsize="0.166666666666667" o:gfxdata="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B+HPdh1AAAAAcBAAAPAAAAAAAAAAEAIAAAACIAAABkcnMv&#10;ZG93bnJldi54bWxQSwECFAAUAAAACACHTuJAwx9MJnkCAAAYBQAADgAAAAAAAAABACAAAAAjAQAA&#10;ZHJzL2Uyb0RvYy54bWxQSwUGAAAAAAYABgBZAQAADgYAAAAA&#10;">
                <v:fill on="t" focussize="0,0"/>
                <v:stroke weight="1pt" color="#000000 [3200]" miterlimit="8" joinstyle="miter"/>
                <v:imagedata o:title=""/>
                <o:lock v:ext="edit" aspectratio="f"/>
                <v:textbox>
                  <w:txbxContent>
                    <w:p w14:paraId="0208F927">
                      <w:pPr>
                        <w:jc w:val="center"/>
                        <w:rPr>
                          <w:rFonts w:ascii="Times New Roman" w:hAnsi="Times New Roman" w:cs="Times New Roman"/>
                        </w:rPr>
                      </w:pPr>
                      <w:r>
                        <w:rPr>
                          <w:rFonts w:ascii="Times New Roman" w:hAnsi="Times New Roman" w:cs="Times New Roman"/>
                        </w:rPr>
                        <w:t>Expectations</w:t>
                      </w:r>
                    </w:p>
                    <w:p w14:paraId="0DAE19F9">
                      <w:pPr>
                        <w:jc w:val="center"/>
                      </w:pPr>
                      <w:r>
                        <w:t xml:space="preserve"> </w:t>
                      </w:r>
                    </w:p>
                  </w:txbxContent>
                </v:textbox>
              </v:roundrect>
            </w:pict>
          </mc:Fallback>
        </mc:AlternateContent>
      </w:r>
    </w:p>
    <w:p w14:paraId="263173B8">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6432" behindDoc="0" locked="0" layoutInCell="1" allowOverlap="1">
                <wp:simplePos x="0" y="0"/>
                <wp:positionH relativeFrom="column">
                  <wp:posOffset>732790</wp:posOffset>
                </wp:positionH>
                <wp:positionV relativeFrom="paragraph">
                  <wp:posOffset>269240</wp:posOffset>
                </wp:positionV>
                <wp:extent cx="0" cy="267335"/>
                <wp:effectExtent l="0" t="0" r="38100" b="37465"/>
                <wp:wrapNone/>
                <wp:docPr id="18" name="Straight Connector 18"/>
                <wp:cNvGraphicFramePr/>
                <a:graphic xmlns:a="http://schemas.openxmlformats.org/drawingml/2006/main">
                  <a:graphicData uri="http://schemas.microsoft.com/office/word/2010/wordprocessingShape">
                    <wps:wsp>
                      <wps:cNvCnPr/>
                      <wps:spPr>
                        <a:xfrm>
                          <a:off x="0" y="0"/>
                          <a:ext cx="0" cy="267502"/>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57.7pt;margin-top:21.2pt;height:21.05pt;width:0pt;z-index:251666432;mso-width-relative:page;mso-height-relative:page;" filled="f" stroked="t" coordsize="21600,21600" o:gfxdata="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IGjwrXWAAAACQEAAA8AAAAAAAAAAQAgAAAAIgAA&#10;AGRycy9kb3ducmV2LnhtbFBLAQIUABQAAAAIAIdO4kC0eP6j0QEAALUDAAAOAAAAAAAAAAEAIAAA&#10;ACUBAABkcnMvZTJvRG9jLnhtbFBLBQYAAAAABgAGAFkBAABoBQAAAAA=&#10;">
                <v:fill on="f" focussize="0,0"/>
                <v:stroke weight="0.5pt" color="#000000 [3200]"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64384" behindDoc="0" locked="0" layoutInCell="1" allowOverlap="1">
                <wp:simplePos x="0" y="0"/>
                <wp:positionH relativeFrom="column">
                  <wp:posOffset>1569720</wp:posOffset>
                </wp:positionH>
                <wp:positionV relativeFrom="paragraph">
                  <wp:posOffset>81280</wp:posOffset>
                </wp:positionV>
                <wp:extent cx="2001520" cy="241300"/>
                <wp:effectExtent l="0" t="0" r="37465" b="25400"/>
                <wp:wrapNone/>
                <wp:docPr id="8" name="Straight Connector 8"/>
                <wp:cNvGraphicFramePr/>
                <a:graphic xmlns:a="http://schemas.openxmlformats.org/drawingml/2006/main">
                  <a:graphicData uri="http://schemas.microsoft.com/office/word/2010/wordprocessingShape">
                    <wps:wsp>
                      <wps:cNvCnPr/>
                      <wps:spPr>
                        <a:xfrm>
                          <a:off x="0" y="0"/>
                          <a:ext cx="2001328" cy="24154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23.6pt;margin-top:6.4pt;height:19pt;width:157.6pt;z-index:251664384;mso-width-relative:page;mso-height-relative:page;" filled="f" stroked="t" coordsize="21600,21600" o:gfxdata="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7gSX3XAAAACQEAAA8AAAAAAAAAAQAg&#10;AAAAIgAAAGRycy9kb3ducmV2LnhtbFBLAQIUABQAAAAIAIdO4kB+wvFB1gEAALkDAAAOAAAAAAAA&#10;AAEAIAAAACYBAABkcnMvZTJvRG9jLnhtbFBLBQYAAAAABgAGAFkBAABuBQAAAAA=&#10;">
                <v:fill on="f" focussize="0,0"/>
                <v:stroke weight="0.5pt" color="#000000 [3200]" miterlimit="8" joinstyle="miter"/>
                <v:imagedata o:title=""/>
                <o:lock v:ext="edit" aspectratio="f"/>
              </v:line>
            </w:pict>
          </mc:Fallback>
        </mc:AlternateContent>
      </w:r>
      <w:r>
        <w:rPr>
          <w:rFonts w:ascii="Times New Roman" w:hAnsi="Times New Roman" w:cs="Times New Roman"/>
          <w:sz w:val="24"/>
          <w:szCs w:val="24"/>
        </w:rPr>
        <w:t xml:space="preserve">                                                                                                           </w:t>
      </w:r>
    </w:p>
    <w:p w14:paraId="3B40BDBF">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5408" behindDoc="0" locked="0" layoutInCell="1" allowOverlap="1">
                <wp:simplePos x="0" y="0"/>
                <wp:positionH relativeFrom="column">
                  <wp:posOffset>1552575</wp:posOffset>
                </wp:positionH>
                <wp:positionV relativeFrom="paragraph">
                  <wp:posOffset>76835</wp:posOffset>
                </wp:positionV>
                <wp:extent cx="2030730" cy="506730"/>
                <wp:effectExtent l="1270" t="4445" r="6350" b="22225"/>
                <wp:wrapNone/>
                <wp:docPr id="9" name="Straight Connector 9"/>
                <wp:cNvGraphicFramePr/>
                <a:graphic xmlns:a="http://schemas.openxmlformats.org/drawingml/2006/main">
                  <a:graphicData uri="http://schemas.microsoft.com/office/word/2010/wordprocessingShape">
                    <wps:wsp>
                      <wps:cNvCnPr/>
                      <wps:spPr>
                        <a:xfrm flipV="1">
                          <a:off x="0" y="0"/>
                          <a:ext cx="2030730" cy="50673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122.25pt;margin-top:6.05pt;height:39.9pt;width:159.9pt;z-index:251665408;mso-width-relative:page;mso-height-relative:page;" filled="f" stroked="t" coordsize="21600,21600" o:gfxdata="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">
                <v:fill on="f" focussize="0,0"/>
                <v:stroke weight="0.5pt" color="#000000 [3200]" miterlimit="8" joinstyle="miter"/>
                <v:imagedata o:title=""/>
                <o:lock v:ext="edit" aspectratio="f"/>
              </v:line>
            </w:pict>
          </mc:Fallback>
        </mc:AlternateContent>
      </w:r>
      <w:r>
        <w:rPr>
          <w:rFonts w:ascii="Times New Roman" w:hAnsi="Times New Roman" w:cs="Times New Roman"/>
          <w:sz w:val="24"/>
          <w:szCs w:val="24"/>
        </w:rPr>
        <mc:AlternateContent>
          <mc:Choice Requires="wps">
            <w:drawing>
              <wp:anchor distT="0" distB="0" distL="114300" distR="114300" simplePos="0" relativeHeight="251663360" behindDoc="0" locked="0" layoutInCell="1" allowOverlap="1">
                <wp:simplePos x="0" y="0"/>
                <wp:positionH relativeFrom="column">
                  <wp:posOffset>1656080</wp:posOffset>
                </wp:positionH>
                <wp:positionV relativeFrom="paragraph">
                  <wp:posOffset>31750</wp:posOffset>
                </wp:positionV>
                <wp:extent cx="2000885" cy="1483995"/>
                <wp:effectExtent l="0" t="38100" r="56515" b="21590"/>
                <wp:wrapNone/>
                <wp:docPr id="7" name="Straight Arrow Connector 7"/>
                <wp:cNvGraphicFramePr/>
                <a:graphic xmlns:a="http://schemas.openxmlformats.org/drawingml/2006/main">
                  <a:graphicData uri="http://schemas.microsoft.com/office/word/2010/wordprocessingShape">
                    <wps:wsp>
                      <wps:cNvCnPr/>
                      <wps:spPr>
                        <a:xfrm flipV="1">
                          <a:off x="0" y="0"/>
                          <a:ext cx="2001052" cy="14837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130.4pt;margin-top:2.5pt;height:116.85pt;width:157.55pt;z-index:251663360;mso-width-relative:page;mso-height-relative:page;" filled="f" stroked="t" coordsize="21600,21600" o:gfxdata="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cTLqk2QAAAAkBAAAPAAAAAAAAAAEAIAAAACIAAABkcnMvZG93bnJldi54&#10;bWxQSwECFAAUAAAACACHTuJArz5Iv/kBAAD0AwAADgAAAAAAAAABACAAAAAoAQAAZHJzL2Uyb0Rv&#10;Yy54bWxQSwUGAAAAAAYABgBZAQAAkwUAAAAA&#10;">
                <v:fill on="f" focussize="0,0"/>
                <v:stroke weight="0.5pt" color="#000000 [3200]" miterlimit="8" joinstyle="miter" endarrow="block"/>
                <v:imagedata o:title=""/>
                <o:lock v:ext="edit" aspectratio="f"/>
              </v:shape>
            </w:pict>
          </mc:Fallback>
        </mc:AlternateContent>
      </w:r>
      <w:r>
        <w:rPr>
          <w:rFonts w:ascii="Times New Roman" w:hAnsi="Times New Roman" w:cs="Times New Roman"/>
          <w:sz w:val="24"/>
          <w:szCs w:val="24"/>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247650</wp:posOffset>
                </wp:positionV>
                <wp:extent cx="1527175" cy="543560"/>
                <wp:effectExtent l="0" t="0" r="16510" b="28575"/>
                <wp:wrapNone/>
                <wp:docPr id="3" name="Rectangle: Rounded Corners 3"/>
                <wp:cNvGraphicFramePr/>
                <a:graphic xmlns:a="http://schemas.openxmlformats.org/drawingml/2006/main">
                  <a:graphicData uri="http://schemas.microsoft.com/office/word/2010/wordprocessingShape">
                    <wps:wsp>
                      <wps:cNvSpPr/>
                      <wps:spPr>
                        <a:xfrm>
                          <a:off x="0" y="0"/>
                          <a:ext cx="1526876" cy="543464"/>
                        </a:xfrm>
                        <a:prstGeom prst="roundRect">
                          <a:avLst/>
                        </a:prstGeom>
                      </wps:spPr>
                      <wps:style>
                        <a:lnRef idx="2">
                          <a:schemeClr val="dk1"/>
                        </a:lnRef>
                        <a:fillRef idx="1">
                          <a:schemeClr val="lt1"/>
                        </a:fillRef>
                        <a:effectRef idx="0">
                          <a:schemeClr val="dk1"/>
                        </a:effectRef>
                        <a:fontRef idx="minor">
                          <a:schemeClr val="dk1"/>
                        </a:fontRef>
                      </wps:style>
                      <wps:txbx>
                        <w:txbxContent>
                          <w:p w14:paraId="5F756AF0">
                            <w:pPr>
                              <w:jc w:val="center"/>
                              <w:rPr>
                                <w:rFonts w:ascii="Times New Roman" w:hAnsi="Times New Roman" w:cs="Times New Roman"/>
                              </w:rPr>
                            </w:pPr>
                            <w:r>
                              <w:rPr>
                                <w:rFonts w:ascii="Times New Roman" w:hAnsi="Times New Roman" w:cs="Times New Roman"/>
                              </w:rPr>
                              <w:t>Perceived performance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ectangle: Rounded Corners 3" o:spid="_x0000_s1026" o:spt="2" style="position:absolute;left:0pt;margin-top:19.5pt;height:42.8pt;width:120.25pt;mso-position-horizontal:left;mso-position-horizontal-relative:margin;z-index:251660288;v-text-anchor:middle;mso-width-relative:page;mso-height-relative:page;" fillcolor="#FFFFFF [3201]" filled="t" stroked="t" coordsize="21600,21600" arcsize="0.166666666666667" o:gfxdata="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CuWZHR1gAAAAcBAAAPAAAAAAAAAAEAIAAAACIAAABk&#10;cnMvZG93bnJldi54bWxQSwECFAAUAAAACACHTuJAJ0RrfnoCAAAYBQAADgAAAAAAAAABACAAAAAl&#10;AQAAZHJzL2Uyb0RvYy54bWxQSwUGAAAAAAYABgBZAQAAEQYAAAAA&#10;">
                <v:fill on="t" focussize="0,0"/>
                <v:stroke weight="1pt" color="#000000 [3200]" miterlimit="8" joinstyle="miter"/>
                <v:imagedata o:title=""/>
                <o:lock v:ext="edit" aspectratio="f"/>
                <v:textbox>
                  <w:txbxContent>
                    <w:p w14:paraId="5F756AF0">
                      <w:pPr>
                        <w:jc w:val="center"/>
                        <w:rPr>
                          <w:rFonts w:ascii="Times New Roman" w:hAnsi="Times New Roman" w:cs="Times New Roman"/>
                        </w:rPr>
                      </w:pPr>
                      <w:r>
                        <w:rPr>
                          <w:rFonts w:ascii="Times New Roman" w:hAnsi="Times New Roman" w:cs="Times New Roman"/>
                        </w:rPr>
                        <w:t>Perceived performance</w:t>
                      </w:r>
                    </w:p>
                  </w:txbxContent>
                </v:textbox>
              </v:roundrect>
            </w:pict>
          </mc:Fallback>
        </mc:AlternateContent>
      </w:r>
    </w:p>
    <w:p w14:paraId="15879E14">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 xml:space="preserve">                                           </w:t>
      </w:r>
    </w:p>
    <w:p w14:paraId="6ECC7020">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7456" behindDoc="0" locked="0" layoutInCell="1" allowOverlap="1">
                <wp:simplePos x="0" y="0"/>
                <wp:positionH relativeFrom="column">
                  <wp:posOffset>715645</wp:posOffset>
                </wp:positionH>
                <wp:positionV relativeFrom="paragraph">
                  <wp:posOffset>182245</wp:posOffset>
                </wp:positionV>
                <wp:extent cx="0" cy="283845"/>
                <wp:effectExtent l="0" t="0" r="38100" b="20955"/>
                <wp:wrapNone/>
                <wp:docPr id="19" name="Straight Connector 19"/>
                <wp:cNvGraphicFramePr/>
                <a:graphic xmlns:a="http://schemas.openxmlformats.org/drawingml/2006/main">
                  <a:graphicData uri="http://schemas.microsoft.com/office/word/2010/wordprocessingShape">
                    <wps:wsp>
                      <wps:cNvCnPr/>
                      <wps:spPr>
                        <a:xfrm>
                          <a:off x="0" y="0"/>
                          <a:ext cx="0" cy="284144"/>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56.35pt;margin-top:14.35pt;height:22.35pt;width:0pt;z-index:251667456;mso-width-relative:page;mso-height-relative:page;" filled="f" stroked="t" coordsize="21600,21600" o:gfxdata="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BbeTI9UAAAAJAQAADwAAAAAAAAABACAAAAAiAAAA&#10;ZHJzL2Rvd25yZXYueG1sUEsBAhQAFAAAAAgAh07iQAAF5YfRAQAAtQMAAA4AAAAAAAAAAQAgAAAA&#10;JAEAAGRycy9lMm9Eb2MueG1sUEsFBgAAAAAGAAYAWQEAAGcFAAAAAA==&#10;">
                <v:fill on="f" focussize="0,0"/>
                <v:stroke weight="0.5pt" color="#000000 [3200]" miterlimit="8" joinstyle="miter"/>
                <v:imagedata o:title=""/>
                <o:lock v:ext="edit" aspectratio="f"/>
              </v:line>
            </w:pict>
          </mc:Fallback>
        </mc:AlternateContent>
      </w:r>
    </w:p>
    <w:p w14:paraId="22A0203D">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194945</wp:posOffset>
                </wp:positionV>
                <wp:extent cx="1612900" cy="586740"/>
                <wp:effectExtent l="0" t="0" r="25400" b="23495"/>
                <wp:wrapNone/>
                <wp:docPr id="4" name="Rectangle: Rounded Corners 4"/>
                <wp:cNvGraphicFramePr/>
                <a:graphic xmlns:a="http://schemas.openxmlformats.org/drawingml/2006/main">
                  <a:graphicData uri="http://schemas.microsoft.com/office/word/2010/wordprocessingShape">
                    <wps:wsp>
                      <wps:cNvSpPr/>
                      <wps:spPr>
                        <a:xfrm>
                          <a:off x="0" y="0"/>
                          <a:ext cx="1613140" cy="586597"/>
                        </a:xfrm>
                        <a:prstGeom prst="roundRect">
                          <a:avLst/>
                        </a:prstGeom>
                      </wps:spPr>
                      <wps:style>
                        <a:lnRef idx="2">
                          <a:schemeClr val="dk1"/>
                        </a:lnRef>
                        <a:fillRef idx="1">
                          <a:schemeClr val="lt1"/>
                        </a:fillRef>
                        <a:effectRef idx="0">
                          <a:schemeClr val="dk1"/>
                        </a:effectRef>
                        <a:fontRef idx="minor">
                          <a:schemeClr val="dk1"/>
                        </a:fontRef>
                      </wps:style>
                      <wps:txbx>
                        <w:txbxContent>
                          <w:p w14:paraId="6ABD3AC0">
                            <w:pPr>
                              <w:jc w:val="center"/>
                              <w:rPr>
                                <w:rFonts w:ascii="Times New Roman" w:hAnsi="Times New Roman" w:cs="Times New Roman"/>
                              </w:rPr>
                            </w:pPr>
                            <w:r>
                              <w:rPr>
                                <w:rFonts w:ascii="Times New Roman" w:hAnsi="Times New Roman" w:cs="Times New Roman"/>
                              </w:rPr>
                              <w:t>Disconfirmation beliefs</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oundrect id="Rectangle: Rounded Corners 4" o:spid="_x0000_s1026" o:spt="2" style="position:absolute;left:0pt;margin-top:15.35pt;height:46.2pt;width:127pt;mso-position-horizontal:left;mso-position-horizontal-relative:margin;z-index:251661312;v-text-anchor:middle;mso-width-relative:page;mso-height-relative:page;" fillcolor="#FFFFFF [3201]" filled="t" stroked="t" coordsize="21600,21600" arcsize="0.166666666666667" o:gfxdata="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BtklwY1QAAAAcBAAAPAAAAAAAAAAEAIAAAACIAAABkcnMv&#10;ZG93bnJldi54bWxQSwECFAAUAAAACACHTuJANasWTngCAAAYBQAADgAAAAAAAAABACAAAAAkAQAA&#10;ZHJzL2Uyb0RvYy54bWxQSwUGAAAAAAYABgBZAQAADgYAAAAA&#10;">
                <v:fill on="t" focussize="0,0"/>
                <v:stroke weight="1pt" color="#000000 [3200]" miterlimit="8" joinstyle="miter"/>
                <v:imagedata o:title=""/>
                <o:lock v:ext="edit" aspectratio="f"/>
                <v:textbox>
                  <w:txbxContent>
                    <w:p w14:paraId="6ABD3AC0">
                      <w:pPr>
                        <w:jc w:val="center"/>
                        <w:rPr>
                          <w:rFonts w:ascii="Times New Roman" w:hAnsi="Times New Roman" w:cs="Times New Roman"/>
                        </w:rPr>
                      </w:pPr>
                      <w:r>
                        <w:rPr>
                          <w:rFonts w:ascii="Times New Roman" w:hAnsi="Times New Roman" w:cs="Times New Roman"/>
                        </w:rPr>
                        <w:t>Disconfirmation beliefs</w:t>
                      </w:r>
                    </w:p>
                  </w:txbxContent>
                </v:textbox>
              </v:roundrect>
            </w:pict>
          </mc:Fallback>
        </mc:AlternateContent>
      </w:r>
    </w:p>
    <w:p w14:paraId="50C29A7D">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701EB430">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0E756A57">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Sources: Richard l and Oliver</w:t>
      </w:r>
    </w:p>
    <w:p w14:paraId="643A3C25">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1B05F840">
      <w:pPr>
        <w:pStyle w:val="2"/>
        <w:pageBreakBefore w:val="0"/>
        <w:kinsoku/>
        <w:wordWrap/>
        <w:overflowPunct/>
        <w:topLinePunct w:val="0"/>
        <w:bidi w:val="0"/>
        <w:snapToGrid/>
        <w:spacing w:before="0" w:beforeAutospacing="0" w:after="0" w:afterAutospacing="0" w:line="360" w:lineRule="auto"/>
        <w:textAlignment w:val="auto"/>
        <w:rPr>
          <w:b/>
        </w:rPr>
      </w:pPr>
      <w:bookmarkStart w:id="38" w:name="_Toc29928"/>
      <w:r>
        <w:rPr>
          <w:b/>
        </w:rPr>
        <w:t>2.5 Research gap</w:t>
      </w:r>
      <w:bookmarkEnd w:id="38"/>
    </w:p>
    <w:p w14:paraId="2484FE0B">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 xml:space="preserve">2.5.1 Gap 1: </w:t>
      </w:r>
      <w:r>
        <w:rPr>
          <w:rFonts w:ascii="Times New Roman" w:hAnsi="Times New Roman" w:cs="Times New Roman"/>
          <w:sz w:val="24"/>
          <w:szCs w:val="24"/>
        </w:rPr>
        <w:t>difference between customer expectations and perception of needs by management. Occurs when the company management does not understand what customers really want.</w:t>
      </w:r>
    </w:p>
    <w:p w14:paraId="06FB02F7">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F20DFA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 xml:space="preserve">2.5.2 Gap 2: </w:t>
      </w:r>
      <w:r>
        <w:rPr>
          <w:rFonts w:ascii="Times New Roman" w:hAnsi="Times New Roman" w:cs="Times New Roman"/>
          <w:sz w:val="24"/>
          <w:szCs w:val="24"/>
        </w:rPr>
        <w:t>difference between perception of needs by management and specification of service. Occurs when management understand what customers want but this does not translate into correct specifications and orders to the rest of company.</w:t>
      </w:r>
    </w:p>
    <w:p w14:paraId="3C408345">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BFF4292">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2.5.3 Gap 3:</w:t>
      </w:r>
      <w:r>
        <w:rPr>
          <w:rFonts w:ascii="Times New Roman" w:hAnsi="Times New Roman" w:cs="Times New Roman"/>
          <w:sz w:val="24"/>
          <w:szCs w:val="24"/>
        </w:rPr>
        <w:t xml:space="preserve"> difference between service quality specifications.</w:t>
      </w:r>
    </w:p>
    <w:p w14:paraId="0BA4F149">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 xml:space="preserve">2.5.4 Gap 4: </w:t>
      </w:r>
      <w:r>
        <w:rPr>
          <w:rFonts w:ascii="Times New Roman" w:hAnsi="Times New Roman" w:cs="Times New Roman"/>
          <w:sz w:val="24"/>
          <w:szCs w:val="24"/>
        </w:rPr>
        <w:t>the difference between service delivery and what is communicated about the service to consumers.</w:t>
      </w:r>
    </w:p>
    <w:p w14:paraId="3799EB71">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3436FB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 xml:space="preserve">2.5.5 Gap 5:  </w:t>
      </w:r>
      <w:r>
        <w:rPr>
          <w:rFonts w:ascii="Times New Roman" w:hAnsi="Times New Roman" w:cs="Times New Roman"/>
          <w:sz w:val="24"/>
          <w:szCs w:val="24"/>
        </w:rPr>
        <w:t>the difference between customer expectations of service quality and customer perception of the organization’s performance.</w:t>
      </w:r>
    </w:p>
    <w:p w14:paraId="445A94A7">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Gap 1to 4 affects the way in which service is delivered and these four gaps lead to Gap 5. Therefore, the extent of Gap 5 depends on the size and direction of these four gaps (gaps 1, gaps 2, gap 3 and gap 4).</w:t>
      </w:r>
    </w:p>
    <w:p w14:paraId="2D619918">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537EAF5">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In the banking industry, the study on service quality will be undertaken</w:t>
      </w:r>
      <w:sdt>
        <w:sdtPr>
          <w:rPr>
            <w:rFonts w:ascii="Times New Roman" w:hAnsi="Times New Roman" w:cs="Times New Roman"/>
            <w:sz w:val="24"/>
            <w:szCs w:val="24"/>
          </w:rPr>
          <w:id w:val="-380248354"/>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Ara05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(Arasil, 2005)</w:t>
          </w:r>
          <w:r>
            <w:rPr>
              <w:rFonts w:ascii="Times New Roman" w:hAnsi="Times New Roman" w:cs="Times New Roman"/>
              <w:sz w:val="24"/>
              <w:szCs w:val="24"/>
            </w:rPr>
            <w:fldChar w:fldCharType="end"/>
          </w:r>
        </w:sdtContent>
      </w:sdt>
      <w:r>
        <w:rPr>
          <w:rFonts w:ascii="Times New Roman" w:hAnsi="Times New Roman" w:cs="Times New Roman"/>
          <w:sz w:val="24"/>
          <w:szCs w:val="24"/>
        </w:rPr>
        <w:t>. The relationship between service quality on consumer satisfaction, complaint behavior and commitment. Their study found overall service quality was significant determinant customer satisfaction, complaint behavior and commitment.</w:t>
      </w:r>
    </w:p>
    <w:p w14:paraId="10E2EB2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280EE7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FB48EDC">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3EF9A5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7E8D4A6">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EC23FF0">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41C919A">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CD79EAE">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FC29E4B">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045F62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502089C">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2D25C3C">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E316377">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8869FB1">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1376167">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FDCB63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DA0F654">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7A1EC21">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39BEF59">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701DA4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8C5CFF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5D28EFE">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F4A2E21">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48830DA">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39" w:name="_Toc17084"/>
      <w:r>
        <w:rPr>
          <w:b/>
        </w:rPr>
        <w:t>CHAPTER THREE</w:t>
      </w:r>
      <w:bookmarkEnd w:id="39"/>
    </w:p>
    <w:p w14:paraId="16A9FFEF">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40" w:name="_Toc19606"/>
      <w:r>
        <w:rPr>
          <w:b/>
        </w:rPr>
        <w:t>RESEARCH METHODOLOGY</w:t>
      </w:r>
      <w:bookmarkEnd w:id="40"/>
    </w:p>
    <w:p w14:paraId="2AC6C128">
      <w:pPr>
        <w:pStyle w:val="2"/>
        <w:pageBreakBefore w:val="0"/>
        <w:kinsoku/>
        <w:wordWrap/>
        <w:overflowPunct/>
        <w:topLinePunct w:val="0"/>
        <w:bidi w:val="0"/>
        <w:snapToGrid/>
        <w:spacing w:before="0" w:beforeAutospacing="0" w:after="0" w:afterAutospacing="0" w:line="360" w:lineRule="auto"/>
        <w:textAlignment w:val="auto"/>
        <w:rPr>
          <w:b/>
        </w:rPr>
      </w:pPr>
      <w:bookmarkStart w:id="41" w:name="_Toc22202"/>
      <w:r>
        <w:rPr>
          <w:b/>
        </w:rPr>
        <w:t>3.0 Introduction</w:t>
      </w:r>
      <w:bookmarkEnd w:id="41"/>
    </w:p>
    <w:p w14:paraId="27A066D1">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In this study the methodologies framework of the study, it outlines various steps, which were used in undertaking of the study. Therefore the brief discussion comprises the research design, study area, research approach, target population, sampling strategies, sampling size, data collection methods/ data sources, pilot of study, data processing and analysis.</w:t>
      </w:r>
    </w:p>
    <w:p w14:paraId="5C3EB18C">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1A5D707">
      <w:pPr>
        <w:pStyle w:val="2"/>
        <w:pageBreakBefore w:val="0"/>
        <w:kinsoku/>
        <w:wordWrap/>
        <w:overflowPunct/>
        <w:topLinePunct w:val="0"/>
        <w:bidi w:val="0"/>
        <w:snapToGrid/>
        <w:spacing w:before="0" w:beforeAutospacing="0" w:after="0" w:afterAutospacing="0" w:line="360" w:lineRule="auto"/>
        <w:textAlignment w:val="auto"/>
        <w:rPr>
          <w:b/>
        </w:rPr>
      </w:pPr>
      <w:bookmarkStart w:id="42" w:name="_Toc31783"/>
      <w:r>
        <w:rPr>
          <w:b/>
        </w:rPr>
        <w:t>3.1 Study Area</w:t>
      </w:r>
      <w:bookmarkEnd w:id="42"/>
    </w:p>
    <w:p w14:paraId="10E04E4B">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The study was taken at CRDB Bank at Dar es salaam around in Temeke branch. The branch has been selected due to the geographical location. Since it was easy to conduct the study due to the number of customers.</w:t>
      </w:r>
    </w:p>
    <w:p w14:paraId="1F6ECCDE">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6BB1C3D1">
      <w:pPr>
        <w:pStyle w:val="2"/>
        <w:pageBreakBefore w:val="0"/>
        <w:kinsoku/>
        <w:wordWrap/>
        <w:overflowPunct/>
        <w:topLinePunct w:val="0"/>
        <w:bidi w:val="0"/>
        <w:snapToGrid/>
        <w:spacing w:before="0" w:beforeAutospacing="0" w:after="0" w:afterAutospacing="0" w:line="360" w:lineRule="auto"/>
        <w:textAlignment w:val="auto"/>
        <w:rPr>
          <w:b/>
        </w:rPr>
      </w:pPr>
      <w:bookmarkStart w:id="43" w:name="_Toc20353"/>
      <w:r>
        <w:rPr>
          <w:b/>
        </w:rPr>
        <w:t>3.2 Research design</w:t>
      </w:r>
      <w:bookmarkEnd w:id="43"/>
    </w:p>
    <w:p w14:paraId="200F3526">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Research design is a conceptual structure within which research is conducted. It constitutes the blueprint for the collection, measurement and analysis of data </w:t>
      </w:r>
      <w:sdt>
        <w:sdtPr>
          <w:rPr>
            <w:rFonts w:ascii="Times New Roman" w:hAnsi="Times New Roman" w:cs="Times New Roman"/>
            <w:sz w:val="24"/>
            <w:szCs w:val="24"/>
          </w:rPr>
          <w:id w:val="-1220123698"/>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Kot04 \l 1033 </w:instrText>
          </w:r>
          <w:r>
            <w:rPr>
              <w:rFonts w:ascii="Times New Roman" w:hAnsi="Times New Roman" w:cs="Times New Roman"/>
              <w:sz w:val="24"/>
              <w:szCs w:val="24"/>
            </w:rPr>
            <w:fldChar w:fldCharType="separate"/>
          </w:r>
          <w:r>
            <w:rPr>
              <w:rFonts w:ascii="Times New Roman" w:hAnsi="Times New Roman" w:cs="Times New Roman"/>
              <w:sz w:val="24"/>
              <w:szCs w:val="24"/>
            </w:rPr>
            <w:t>(Kothari, 2004)</w:t>
          </w:r>
          <w:r>
            <w:rPr>
              <w:rFonts w:ascii="Times New Roman" w:hAnsi="Times New Roman" w:cs="Times New Roman"/>
              <w:sz w:val="24"/>
              <w:szCs w:val="24"/>
            </w:rPr>
            <w:fldChar w:fldCharType="end"/>
          </w:r>
        </w:sdtContent>
      </w:sdt>
      <w:r>
        <w:rPr>
          <w:rFonts w:ascii="Times New Roman" w:hAnsi="Times New Roman" w:cs="Times New Roman"/>
          <w:sz w:val="24"/>
          <w:szCs w:val="24"/>
        </w:rPr>
        <w:t>. The study designed to collect information about the effect of service quality on customer’s satisfaction in financial institution. There is different research design in case of different types of research studies.</w:t>
      </w:r>
    </w:p>
    <w:p w14:paraId="779FE20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AC13629">
      <w:pPr>
        <w:pStyle w:val="2"/>
        <w:pageBreakBefore w:val="0"/>
        <w:kinsoku/>
        <w:wordWrap/>
        <w:overflowPunct/>
        <w:topLinePunct w:val="0"/>
        <w:bidi w:val="0"/>
        <w:snapToGrid/>
        <w:spacing w:before="0" w:beforeAutospacing="0" w:after="0" w:afterAutospacing="0" w:line="360" w:lineRule="auto"/>
        <w:textAlignment w:val="auto"/>
        <w:rPr>
          <w:b/>
        </w:rPr>
      </w:pPr>
      <w:bookmarkStart w:id="44" w:name="_Toc7423"/>
      <w:r>
        <w:rPr>
          <w:b/>
        </w:rPr>
        <w:t>3.3 Research Approach</w:t>
      </w:r>
      <w:bookmarkEnd w:id="44"/>
    </w:p>
    <w:p w14:paraId="4137C937">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study includes qualitative and quantitative research design. A qualitative research design finds out how people feel or what they think about a particular subject</w:t>
      </w:r>
      <w:sdt>
        <w:sdtPr>
          <w:rPr>
            <w:rFonts w:ascii="Times New Roman" w:hAnsi="Times New Roman" w:cs="Times New Roman"/>
            <w:sz w:val="24"/>
            <w:szCs w:val="24"/>
          </w:rPr>
          <w:id w:val="1501619188"/>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 Through this design, a researcher can analyze various factors which motivate people to behave in a particular manner or which make people like or dislike in a particular thing</w:t>
      </w:r>
      <w:sdt>
        <w:sdtPr>
          <w:rPr>
            <w:rFonts w:ascii="Times New Roman" w:hAnsi="Times New Roman" w:cs="Times New Roman"/>
            <w:sz w:val="24"/>
            <w:szCs w:val="24"/>
          </w:rPr>
          <w:id w:val="-1625536609"/>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(Kothari, 2004)</w:t>
          </w:r>
          <w:r>
            <w:rPr>
              <w:rFonts w:ascii="Times New Roman" w:hAnsi="Times New Roman" w:cs="Times New Roman"/>
              <w:sz w:val="24"/>
              <w:szCs w:val="24"/>
            </w:rPr>
            <w:fldChar w:fldCharType="end"/>
          </w:r>
        </w:sdtContent>
      </w:sdt>
      <w:r>
        <w:rPr>
          <w:rFonts w:ascii="Times New Roman" w:hAnsi="Times New Roman" w:cs="Times New Roman"/>
          <w:sz w:val="24"/>
          <w:szCs w:val="24"/>
        </w:rPr>
        <w:t>. Quantitative research design is based on the data whose meaning are derived from numbers. It is applicable in phenomena that involve some numerical data which help the researcher to answer research questions and meet objectives.</w:t>
      </w:r>
    </w:p>
    <w:p w14:paraId="5F7B3B5B">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FCF1E07">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Quantitative data can be a product of all research strategies </w:t>
      </w:r>
      <w:sdt>
        <w:sdtPr>
          <w:rPr>
            <w:rFonts w:ascii="Times New Roman" w:hAnsi="Times New Roman" w:cs="Times New Roman"/>
            <w:sz w:val="24"/>
            <w:szCs w:val="24"/>
          </w:rPr>
          <w:id w:val="1839259396"/>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The process of analyzing the data ranges from creating simple tables or diagrams, which shows frequency of occurrence through establishing relationship between variables to complex statistical modeling </w:t>
      </w:r>
      <w:sdt>
        <w:sdtPr>
          <w:rPr>
            <w:rFonts w:ascii="Times New Roman" w:hAnsi="Times New Roman" w:cs="Times New Roman"/>
            <w:sz w:val="24"/>
            <w:szCs w:val="24"/>
          </w:rPr>
          <w:id w:val="1001395466"/>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Kot04 \l 1033 </w:instrText>
          </w:r>
          <w:r>
            <w:rPr>
              <w:rFonts w:ascii="Times New Roman" w:hAnsi="Times New Roman" w:cs="Times New Roman"/>
              <w:sz w:val="24"/>
              <w:szCs w:val="24"/>
            </w:rPr>
            <w:fldChar w:fldCharType="separate"/>
          </w:r>
          <w:r>
            <w:rPr>
              <w:rFonts w:ascii="Times New Roman" w:hAnsi="Times New Roman" w:cs="Times New Roman"/>
              <w:sz w:val="24"/>
              <w:szCs w:val="24"/>
            </w:rPr>
            <w:t>(Kothari, 2004)</w:t>
          </w:r>
          <w:r>
            <w:rPr>
              <w:rFonts w:ascii="Times New Roman" w:hAnsi="Times New Roman" w:cs="Times New Roman"/>
              <w:sz w:val="24"/>
              <w:szCs w:val="24"/>
            </w:rPr>
            <w:fldChar w:fldCharType="end"/>
          </w:r>
        </w:sdtContent>
      </w:sdt>
      <w:r>
        <w:rPr>
          <w:rFonts w:ascii="Times New Roman" w:hAnsi="Times New Roman" w:cs="Times New Roman"/>
          <w:sz w:val="24"/>
          <w:szCs w:val="24"/>
        </w:rPr>
        <w:t>. The study employs qualitative and quantitative research design. According to</w:t>
      </w:r>
      <w:sdt>
        <w:sdtPr>
          <w:rPr>
            <w:rFonts w:ascii="Times New Roman" w:hAnsi="Times New Roman" w:cs="Times New Roman"/>
            <w:sz w:val="24"/>
            <w:szCs w:val="24"/>
          </w:rPr>
          <w:id w:val="1496531315"/>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it is usual for a study to employ multi-methods as they can be used for different purposes in the study.</w:t>
      </w:r>
    </w:p>
    <w:p w14:paraId="58174749">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0C645E7">
      <w:pPr>
        <w:pStyle w:val="2"/>
        <w:pageBreakBefore w:val="0"/>
        <w:kinsoku/>
        <w:wordWrap/>
        <w:overflowPunct/>
        <w:topLinePunct w:val="0"/>
        <w:bidi w:val="0"/>
        <w:snapToGrid/>
        <w:spacing w:before="0" w:beforeAutospacing="0" w:after="0" w:afterAutospacing="0" w:line="360" w:lineRule="auto"/>
        <w:textAlignment w:val="auto"/>
        <w:rPr>
          <w:b/>
        </w:rPr>
      </w:pPr>
      <w:bookmarkStart w:id="45" w:name="_Toc26263"/>
      <w:r>
        <w:rPr>
          <w:b/>
        </w:rPr>
        <w:t>3.3.1 Target Population</w:t>
      </w:r>
      <w:bookmarkEnd w:id="45"/>
      <w:r>
        <w:rPr>
          <w:b/>
        </w:rPr>
        <w:t xml:space="preserve"> </w:t>
      </w:r>
    </w:p>
    <w:p w14:paraId="3FB7CEC2">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Population refers to the entire group that you want to draw a conclusion about</w:t>
      </w:r>
      <w:sdt>
        <w:sdtPr>
          <w:rPr>
            <w:rFonts w:ascii="Times New Roman" w:hAnsi="Times New Roman" w:cs="Times New Roman"/>
            <w:sz w:val="24"/>
            <w:szCs w:val="24"/>
          </w:rPr>
          <w:id w:val="2047248387"/>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Bha241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(Bhandari, 2024)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The targeted population included a population of 81 customers from CRDB branch at Temeke </w:t>
      </w:r>
      <w:r>
        <w:rPr>
          <w:rFonts w:ascii="Times New Roman" w:hAnsi="Times New Roman" w:cs="Times New Roman"/>
          <w:i/>
          <w:color w:val="FF0000"/>
          <w:sz w:val="24"/>
          <w:szCs w:val="24"/>
        </w:rPr>
        <w:t xml:space="preserve"> </w:t>
      </w:r>
      <w:r>
        <w:rPr>
          <w:rFonts w:ascii="Times New Roman" w:hAnsi="Times New Roman" w:cs="Times New Roman"/>
          <w:sz w:val="24"/>
          <w:szCs w:val="24"/>
        </w:rPr>
        <w:t xml:space="preserve"> included both gender, educational level, and age.</w:t>
      </w:r>
    </w:p>
    <w:p w14:paraId="1A3BD94A">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5858F27">
      <w:pPr>
        <w:pStyle w:val="2"/>
        <w:pageBreakBefore w:val="0"/>
        <w:kinsoku/>
        <w:wordWrap/>
        <w:overflowPunct/>
        <w:topLinePunct w:val="0"/>
        <w:bidi w:val="0"/>
        <w:snapToGrid/>
        <w:spacing w:before="0" w:beforeAutospacing="0" w:after="0" w:afterAutospacing="0" w:line="360" w:lineRule="auto"/>
        <w:textAlignment w:val="auto"/>
        <w:rPr>
          <w:b/>
        </w:rPr>
      </w:pPr>
      <w:bookmarkStart w:id="46" w:name="_Toc6540"/>
      <w:r>
        <w:rPr>
          <w:b/>
        </w:rPr>
        <w:t>3.3.2 Sampling Strategies</w:t>
      </w:r>
      <w:bookmarkEnd w:id="46"/>
    </w:p>
    <w:p w14:paraId="093B952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It refers to the technique or the procedure the study would adopt in selecting items in sample</w:t>
      </w:r>
      <w:sdt>
        <w:sdtPr>
          <w:rPr>
            <w:rFonts w:ascii="Times New Roman" w:hAnsi="Times New Roman" w:cs="Times New Roman"/>
            <w:sz w:val="24"/>
            <w:szCs w:val="24"/>
          </w:rPr>
          <w:id w:val="-434213366"/>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sdt>
        <w:sdtPr>
          <w:rPr>
            <w:rFonts w:ascii="Times New Roman" w:hAnsi="Times New Roman" w:cs="Times New Roman"/>
            <w:sz w:val="24"/>
            <w:szCs w:val="24"/>
          </w:rPr>
          <w:id w:val="1382059763"/>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Kot04 \l 1033 </w:instrText>
          </w:r>
          <w:r>
            <w:rPr>
              <w:rFonts w:ascii="Times New Roman" w:hAnsi="Times New Roman" w:cs="Times New Roman"/>
              <w:sz w:val="24"/>
              <w:szCs w:val="24"/>
            </w:rPr>
            <w:fldChar w:fldCharType="separate"/>
          </w:r>
          <w:r>
            <w:rPr>
              <w:rFonts w:ascii="Times New Roman" w:hAnsi="Times New Roman" w:cs="Times New Roman"/>
              <w:sz w:val="24"/>
              <w:szCs w:val="24"/>
            </w:rPr>
            <w:t>(Kothari, 2004)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describe sample strategies as a research plan that shows sample can be selected. CRDB bank is the main source to obtain the inquiry.</w:t>
      </w:r>
    </w:p>
    <w:p w14:paraId="393D09FD">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E0A13DB">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main objective of sampling is to ensure that the sample is representative of the target population. In this study non-probability sampling and probability sampling was employed. It was helpful to answer research questions.</w:t>
      </w:r>
    </w:p>
    <w:p w14:paraId="074D038E">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18AE61B">
      <w:pPr>
        <w:pStyle w:val="2"/>
        <w:pageBreakBefore w:val="0"/>
        <w:kinsoku/>
        <w:wordWrap/>
        <w:overflowPunct/>
        <w:topLinePunct w:val="0"/>
        <w:bidi w:val="0"/>
        <w:snapToGrid/>
        <w:spacing w:before="0" w:beforeAutospacing="0" w:after="0" w:afterAutospacing="0" w:line="360" w:lineRule="auto"/>
        <w:textAlignment w:val="auto"/>
        <w:rPr>
          <w:b/>
        </w:rPr>
      </w:pPr>
      <w:bookmarkStart w:id="47" w:name="_Toc8100"/>
      <w:r>
        <w:rPr>
          <w:b/>
        </w:rPr>
        <w:t>3.3.3 Sampling size</w:t>
      </w:r>
      <w:bookmarkEnd w:id="47"/>
    </w:p>
    <w:p w14:paraId="30FD9FB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this study, the sample size was determined to be 70 from a population of 81 customers, selected from a total population of [specify population size, if known]. The formula used to calculate the sample size of 70 would typically depend on several factors, including the confidence level, margin of error, and estimated response distribution. A common formula for determining sample size in social sciences is the Slovin's formula.</w:t>
      </w:r>
    </w:p>
    <w:p w14:paraId="22FD1968">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0402CD06">
      <w:pPr>
        <w:pageBreakBefore w:val="0"/>
        <w:shd w:val="clear" w:color="auto" w:fill="FFFFFF"/>
        <w:kinsoku/>
        <w:wordWrap/>
        <w:overflowPunct/>
        <w:topLinePunct w:val="0"/>
        <w:autoSpaceDE w:val="0"/>
        <w:autoSpaceDN w:val="0"/>
        <w:bidi w:val="0"/>
        <w:adjustRightInd w:val="0"/>
        <w:snapToGrid/>
        <w:spacing w:beforeAutospacing="0" w:after="0" w:afterAutospacing="0" w:line="360" w:lineRule="auto"/>
        <w:textAlignment w:val="auto"/>
        <w:rPr>
          <w:rFonts w:ascii="Times New Roman" w:hAnsi="Times New Roman" w:cs="Times New Roman"/>
          <w:color w:val="000000"/>
          <w:sz w:val="24"/>
          <w:szCs w:val="24"/>
        </w:rPr>
      </w:pPr>
      <w:r>
        <w:rPr>
          <w:rFonts w:ascii="Times New Roman" w:hAnsi="Times New Roman" w:cs="Times New Roman"/>
          <w:color w:val="000000"/>
          <w:sz w:val="24"/>
          <w:szCs w:val="24"/>
        </w:rPr>
        <w:t>The sample size for this study is determined using Slovin's formula with a confidence level of 95 and a margin of error of 0.05, as shown below.</w:t>
      </w:r>
    </w:p>
    <w:p w14:paraId="2F3AA697">
      <w:pPr>
        <w:pageBreakBefore w:val="0"/>
        <w:shd w:val="clear" w:color="auto" w:fill="FFFFFF"/>
        <w:kinsoku/>
        <w:wordWrap/>
        <w:overflowPunct/>
        <w:topLinePunct w:val="0"/>
        <w:bidi w:val="0"/>
        <w:snapToGrid/>
        <w:spacing w:beforeAutospacing="0" w:after="0" w:afterAutospacing="0" w:line="360" w:lineRule="auto"/>
        <w:ind w:firstLine="720"/>
        <w:textAlignment w:val="auto"/>
        <w:rPr>
          <w:rFonts w:ascii="Times New Roman" w:hAnsi="Times New Roman" w:cs="Times New Roman"/>
          <w:color w:val="000000"/>
          <w:sz w:val="24"/>
          <w:szCs w:val="24"/>
        </w:rPr>
      </w:pPr>
      <w:r>
        <w:rPr>
          <w:rFonts w:ascii="Times New Roman" w:hAnsi="Times New Roman" w:cs="Times New Roman"/>
          <w:color w:val="000000"/>
          <w:sz w:val="24"/>
          <w:szCs w:val="24"/>
        </w:rPr>
        <w:t>n=N÷ (1+Ne</w:t>
      </w:r>
      <w:r>
        <w:rPr>
          <w:rFonts w:ascii="Times New Roman" w:hAnsi="Times New Roman" w:cs="Times New Roman"/>
          <w:color w:val="000000"/>
          <w:sz w:val="24"/>
          <w:szCs w:val="24"/>
          <w:vertAlign w:val="superscript"/>
        </w:rPr>
        <w:t>2</w:t>
      </w:r>
      <w:r>
        <w:rPr>
          <w:rFonts w:ascii="Times New Roman" w:hAnsi="Times New Roman" w:cs="Times New Roman"/>
          <w:color w:val="000000"/>
          <w:sz w:val="24"/>
          <w:szCs w:val="24"/>
        </w:rPr>
        <w:t>)</w:t>
      </w:r>
    </w:p>
    <w:p w14:paraId="29FA71EA">
      <w:pPr>
        <w:pageBreakBefore w:val="0"/>
        <w:shd w:val="clear" w:color="auto" w:fill="FFFFFF"/>
        <w:kinsoku/>
        <w:wordWrap/>
        <w:overflowPunct/>
        <w:topLinePunct w:val="0"/>
        <w:bidi w:val="0"/>
        <w:snapToGrid/>
        <w:spacing w:beforeAutospacing="0" w:after="0" w:afterAutospacing="0" w:line="360" w:lineRule="auto"/>
        <w:ind w:firstLine="720"/>
        <w:textAlignment w:val="auto"/>
        <w:rPr>
          <w:rFonts w:ascii="Times New Roman" w:hAnsi="Times New Roman" w:cs="Times New Roman"/>
          <w:color w:val="000000"/>
          <w:sz w:val="24"/>
          <w:szCs w:val="24"/>
        </w:rPr>
      </w:pPr>
      <w:r>
        <w:rPr>
          <w:rFonts w:ascii="Times New Roman" w:hAnsi="Times New Roman" w:cs="Times New Roman"/>
          <w:color w:val="000000"/>
          <w:sz w:val="24"/>
          <w:szCs w:val="24"/>
        </w:rPr>
        <w:t>Where: n= is number of sample (required)</w:t>
      </w:r>
    </w:p>
    <w:p w14:paraId="43C623BF">
      <w:pPr>
        <w:pageBreakBefore w:val="0"/>
        <w:shd w:val="clear" w:color="auto" w:fill="FFFFFF"/>
        <w:kinsoku/>
        <w:wordWrap/>
        <w:overflowPunct/>
        <w:topLinePunct w:val="0"/>
        <w:bidi w:val="0"/>
        <w:snapToGrid/>
        <w:spacing w:beforeAutospacing="0" w:after="0" w:afterAutospacing="0" w:line="360" w:lineRule="auto"/>
        <w:textAlignment w:val="auto"/>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 xml:space="preserve">N = Total population (81 and </w:t>
      </w:r>
    </w:p>
    <w:p w14:paraId="602BFD8B">
      <w:pPr>
        <w:pageBreakBefore w:val="0"/>
        <w:shd w:val="clear" w:color="auto" w:fill="FFFFFF"/>
        <w:kinsoku/>
        <w:wordWrap/>
        <w:overflowPunct/>
        <w:topLinePunct w:val="0"/>
        <w:bidi w:val="0"/>
        <w:snapToGrid/>
        <w:spacing w:beforeAutospacing="0" w:after="0" w:afterAutospacing="0" w:line="360" w:lineRule="auto"/>
        <w:textAlignment w:val="auto"/>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 xml:space="preserve">e = Error tolerance (level) or margin of error (0.05)  </w:t>
      </w:r>
    </w:p>
    <w:p w14:paraId="7ADF63CD">
      <w:pPr>
        <w:pageBreakBefore w:val="0"/>
        <w:shd w:val="clear" w:color="auto" w:fill="FFFFFF"/>
        <w:kinsoku/>
        <w:wordWrap/>
        <w:overflowPunct/>
        <w:topLinePunct w:val="0"/>
        <w:bidi w:val="0"/>
        <w:snapToGrid/>
        <w:spacing w:beforeAutospacing="0" w:after="0" w:afterAutospacing="0" w:line="360" w:lineRule="auto"/>
        <w:textAlignment w:val="auto"/>
        <w:rPr>
          <w:rFonts w:ascii="Times New Roman" w:hAnsi="Times New Roman" w:cs="Times New Roman"/>
          <w:color w:val="000000"/>
          <w:sz w:val="24"/>
          <w:szCs w:val="24"/>
        </w:rPr>
      </w:pPr>
      <w:r>
        <w:rPr>
          <w:rFonts w:ascii="Times New Roman" w:hAnsi="Times New Roman" w:cs="Times New Roman"/>
          <w:color w:val="000000"/>
          <w:sz w:val="24"/>
          <w:szCs w:val="24"/>
        </w:rPr>
        <w:t>n=70</w:t>
      </w:r>
    </w:p>
    <w:p w14:paraId="4D43901D">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07B264F9">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All 70 respondents were included due to the relatively small size of the sample, allowing for comprehensive data collection without needing further sampling within the sample. For the qualitative analysis, 35 respondents were selected purposefully, possibly using purposive sampling or criterion-based sampling methods, which focus on selecting individuals who have specific insights or experience relevant to the study. This approach allows for deeper exploration of the respondents’ perspectives. </w:t>
      </w:r>
    </w:p>
    <w:p w14:paraId="4EDA8AAD">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0C0BA95">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In the quantitative portion, the remaining 35 respondents were included through a method that ensured their representativeness, possibly using random sampling or systematic sampling, to gather data that could be analyzed statistically. This division allowed the study to benefit from both detailed qualitative insights and generalizable quantitative data, creating a balanced and robust research approach</w:t>
      </w:r>
    </w:p>
    <w:p w14:paraId="32AFCA4E">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F4E8DB0">
      <w:pPr>
        <w:pStyle w:val="2"/>
        <w:pageBreakBefore w:val="0"/>
        <w:kinsoku/>
        <w:wordWrap/>
        <w:overflowPunct/>
        <w:topLinePunct w:val="0"/>
        <w:bidi w:val="0"/>
        <w:snapToGrid/>
        <w:spacing w:before="0" w:beforeAutospacing="0" w:after="0" w:afterAutospacing="0" w:line="360" w:lineRule="auto"/>
        <w:textAlignment w:val="auto"/>
        <w:rPr>
          <w:b/>
        </w:rPr>
      </w:pPr>
      <w:bookmarkStart w:id="48" w:name="_Toc1511"/>
      <w:r>
        <w:rPr>
          <w:b/>
        </w:rPr>
        <w:t>3.3.4 Data collection methods/ Data sources</w:t>
      </w:r>
      <w:bookmarkEnd w:id="48"/>
    </w:p>
    <w:p w14:paraId="23582DD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study included both qualitative and quantitative technique of collecting data. Thus a combination of techniques was applied in the collection of data. It involves interviews aided by questionnaires that consist of both structured and open-ended question.</w:t>
      </w:r>
    </w:p>
    <w:p w14:paraId="5FA980FD">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B7986B4">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3.4 Pilot of the study</w:t>
      </w:r>
    </w:p>
    <w:p w14:paraId="214D4EBC">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A pilot of study is one of important stages in research project and is conducted to identify potential problem areas and deficiencies in research instruments and protocol prior to implementation during the full study.</w:t>
      </w:r>
    </w:p>
    <w:p w14:paraId="137E4AF6">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7BE1AF3">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pilot of study involved selecting a half of the target population. In which 35 respondent were provided with a structured questionnaire and other 35 were provided with open-ended questions. The aim was testing for their clarity and relevance for the actual study and to prepare for any problem.</w:t>
      </w:r>
    </w:p>
    <w:p w14:paraId="4463855F">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246D6EAB">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response from the participants were defined, any misunderstanding was  analyzed and the adjustments were done accordingly.</w:t>
      </w:r>
    </w:p>
    <w:p w14:paraId="054DCD9D">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Pilot of study significantly tests the problem before implementing the full survey. It also examines the validity of each question.</w:t>
      </w:r>
    </w:p>
    <w:p w14:paraId="48EB480A">
      <w:pPr>
        <w:pStyle w:val="2"/>
        <w:pageBreakBefore w:val="0"/>
        <w:kinsoku/>
        <w:wordWrap/>
        <w:overflowPunct/>
        <w:topLinePunct w:val="0"/>
        <w:bidi w:val="0"/>
        <w:snapToGrid/>
        <w:spacing w:before="0" w:beforeAutospacing="0" w:after="0" w:afterAutospacing="0" w:line="360" w:lineRule="auto"/>
        <w:textAlignment w:val="auto"/>
        <w:rPr>
          <w:b/>
        </w:rPr>
      </w:pPr>
      <w:bookmarkStart w:id="49" w:name="_Toc10538"/>
      <w:r>
        <w:rPr>
          <w:b/>
        </w:rPr>
        <w:t>3.5 Data processing and analysis</w:t>
      </w:r>
      <w:bookmarkEnd w:id="49"/>
    </w:p>
    <w:p w14:paraId="4755398A">
      <w:pPr>
        <w:pageBreakBefore w:val="0"/>
        <w:tabs>
          <w:tab w:val="left" w:pos="3355"/>
        </w:tabs>
        <w:kinsoku/>
        <w:wordWrap/>
        <w:overflowPunct/>
        <w:topLinePunct w:val="0"/>
        <w:bidi w:val="0"/>
        <w:snapToGrid/>
        <w:spacing w:beforeAutospacing="0" w:after="0" w:afterAutospacing="0" w:line="360" w:lineRule="auto"/>
        <w:jc w:val="both"/>
        <w:textAlignment w:val="auto"/>
      </w:pPr>
      <w:r>
        <w:rPr>
          <w:rFonts w:ascii="Times New Roman" w:hAnsi="Times New Roman" w:cs="Times New Roman"/>
          <w:sz w:val="24"/>
          <w:szCs w:val="24"/>
        </w:rPr>
        <w:t>The data was analyzed using both quantitative and qualitative methods to address the study's comprehensive approach. Quantitative research techniques were applied for data analysis, as many researchers advocate for using both quantitative and qualitative methods to gain richer insights, especially when working with respondents who have busy schedules and limited availability (Morgan, 2014). Microsoft Excel served as the analytical tool for this study, employing graphs, tables, and descriptive statistics. Excel is widely used in research for data analysis (Morgan, 2014). Data was processed using mean percentages, standard deviations, standard errors, and graphic presentations</w:t>
      </w:r>
      <w:r>
        <w:t>.</w:t>
      </w:r>
    </w:p>
    <w:p w14:paraId="666C9005">
      <w:pPr>
        <w:pageBreakBefore w:val="0"/>
        <w:tabs>
          <w:tab w:val="left" w:pos="3355"/>
        </w:tabs>
        <w:kinsoku/>
        <w:wordWrap/>
        <w:overflowPunct/>
        <w:topLinePunct w:val="0"/>
        <w:bidi w:val="0"/>
        <w:snapToGrid/>
        <w:spacing w:beforeAutospacing="0" w:after="0" w:afterAutospacing="0" w:line="360" w:lineRule="auto"/>
        <w:jc w:val="both"/>
        <w:textAlignment w:val="auto"/>
      </w:pPr>
    </w:p>
    <w:p w14:paraId="67B1FEFE">
      <w:pPr>
        <w:pStyle w:val="2"/>
        <w:pageBreakBefore w:val="0"/>
        <w:kinsoku/>
        <w:wordWrap/>
        <w:overflowPunct/>
        <w:topLinePunct w:val="0"/>
        <w:bidi w:val="0"/>
        <w:snapToGrid/>
        <w:spacing w:before="0" w:beforeAutospacing="0" w:after="0" w:afterAutospacing="0" w:line="360" w:lineRule="auto"/>
        <w:textAlignment w:val="auto"/>
        <w:rPr>
          <w:b/>
        </w:rPr>
      </w:pPr>
      <w:bookmarkStart w:id="50" w:name="_Toc15918"/>
      <w:r>
        <w:rPr>
          <w:b/>
        </w:rPr>
        <w:t>3.6 Measure validity and reliability</w:t>
      </w:r>
      <w:bookmarkEnd w:id="50"/>
    </w:p>
    <w:p w14:paraId="49336909">
      <w:pPr>
        <w:pStyle w:val="2"/>
        <w:pageBreakBefore w:val="0"/>
        <w:kinsoku/>
        <w:wordWrap/>
        <w:overflowPunct/>
        <w:topLinePunct w:val="0"/>
        <w:bidi w:val="0"/>
        <w:snapToGrid/>
        <w:spacing w:before="0" w:beforeAutospacing="0" w:after="0" w:afterAutospacing="0" w:line="360" w:lineRule="auto"/>
        <w:textAlignment w:val="auto"/>
        <w:rPr>
          <w:b/>
        </w:rPr>
      </w:pPr>
      <w:bookmarkStart w:id="51" w:name="_Toc16363"/>
      <w:r>
        <w:rPr>
          <w:b/>
        </w:rPr>
        <w:t>3.6.1 Credibility (internal validity)</w:t>
      </w:r>
      <w:bookmarkEnd w:id="51"/>
    </w:p>
    <w:p w14:paraId="4C7A6D3C">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According to</w:t>
      </w:r>
      <w:sdt>
        <w:sdtPr>
          <w:rPr>
            <w:rFonts w:ascii="Times New Roman" w:hAnsi="Times New Roman" w:cs="Times New Roman"/>
            <w:sz w:val="24"/>
            <w:szCs w:val="24"/>
          </w:rPr>
          <w:id w:val="-1172337892"/>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Mor14 \l 1033 </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(Morgan,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this criterion deals with the issue of casualty, Means the respondent of the study are the actual customer of CRDB Bank that the finding and conclusion of the study are not bias. It also deals with further action by the bank for their customer in case of some modification in service.</w:t>
      </w:r>
    </w:p>
    <w:p w14:paraId="5F94ECD8">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9867D49">
      <w:pPr>
        <w:pStyle w:val="2"/>
        <w:pageBreakBefore w:val="0"/>
        <w:kinsoku/>
        <w:wordWrap/>
        <w:overflowPunct/>
        <w:topLinePunct w:val="0"/>
        <w:bidi w:val="0"/>
        <w:snapToGrid/>
        <w:spacing w:before="0" w:beforeAutospacing="0" w:after="0" w:afterAutospacing="0" w:line="360" w:lineRule="auto"/>
        <w:textAlignment w:val="auto"/>
        <w:rPr>
          <w:b/>
        </w:rPr>
      </w:pPr>
      <w:bookmarkStart w:id="52" w:name="_Toc205"/>
      <w:r>
        <w:rPr>
          <w:b/>
        </w:rPr>
        <w:t>3.6.2 Transferability (external validity)</w:t>
      </w:r>
      <w:bookmarkEnd w:id="52"/>
    </w:p>
    <w:p w14:paraId="06A0B53E">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The study measure to what extent the study result is applicable within other context, circumstances and setting. It also can be thought of in term of generalizability. The author tries to select sample from the actual customer of CRDB Bank. The author used the customer to try to generalize the study along with the fixed research context.</w:t>
      </w:r>
    </w:p>
    <w:p w14:paraId="4755F9D2">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369C516C">
      <w:pPr>
        <w:pStyle w:val="2"/>
        <w:pageBreakBefore w:val="0"/>
        <w:kinsoku/>
        <w:wordWrap/>
        <w:overflowPunct/>
        <w:topLinePunct w:val="0"/>
        <w:bidi w:val="0"/>
        <w:snapToGrid/>
        <w:spacing w:before="0" w:beforeAutospacing="0" w:after="0" w:afterAutospacing="0" w:line="360" w:lineRule="auto"/>
        <w:textAlignment w:val="auto"/>
        <w:rPr>
          <w:b/>
        </w:rPr>
      </w:pPr>
      <w:bookmarkStart w:id="53" w:name="_Toc4743"/>
      <w:r>
        <w:rPr>
          <w:b/>
        </w:rPr>
        <w:t>3.6.3 Dependability (reliability)</w:t>
      </w:r>
      <w:bookmarkEnd w:id="53"/>
    </w:p>
    <w:p w14:paraId="493F684B">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Reliability deals with the question whether the result of study id repeatable. Reliability particular related with quantitative research is concerned with whether is stable or not. In order to make to the conclusion the author should each and every method.</w:t>
      </w:r>
    </w:p>
    <w:p w14:paraId="4DD0DA34">
      <w:pPr>
        <w:pageBreakBefore w:val="0"/>
        <w:tabs>
          <w:tab w:val="left" w:pos="3355"/>
        </w:tabs>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97424C2">
      <w:pPr>
        <w:pStyle w:val="2"/>
        <w:pageBreakBefore w:val="0"/>
        <w:kinsoku/>
        <w:wordWrap/>
        <w:overflowPunct/>
        <w:topLinePunct w:val="0"/>
        <w:bidi w:val="0"/>
        <w:snapToGrid/>
        <w:spacing w:before="0" w:beforeAutospacing="0" w:after="0" w:afterAutospacing="0" w:line="360" w:lineRule="auto"/>
        <w:textAlignment w:val="auto"/>
        <w:rPr>
          <w:b/>
        </w:rPr>
      </w:pPr>
      <w:bookmarkStart w:id="54" w:name="_Toc11299"/>
      <w:r>
        <w:rPr>
          <w:b/>
        </w:rPr>
        <w:t>3.6.4 Confirmability</w:t>
      </w:r>
      <w:bookmarkEnd w:id="54"/>
    </w:p>
    <w:p w14:paraId="16F9831B">
      <w:pPr>
        <w:pStyle w:val="7"/>
        <w:pageBreakBefore w:val="0"/>
        <w:widowControl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It measures the extent to which a research study could be repeated by separate researcher and reveal the same finding. This is all about the thoroughness of the research process a detailed discussion guide or set of respondent tasks to ensure focused data collection, open-ended questions to elicit spontaneous and unbiased answers, digital recordings, rigorous analysis of transcripts, and extensive note taking.</w:t>
      </w:r>
    </w:p>
    <w:p w14:paraId="12FD5636">
      <w:pPr>
        <w:pStyle w:val="7"/>
        <w:pageBreakBefore w:val="0"/>
        <w:widowControl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E4A9F7B">
      <w:pPr>
        <w:pStyle w:val="2"/>
        <w:pageBreakBefore w:val="0"/>
        <w:kinsoku/>
        <w:wordWrap/>
        <w:overflowPunct/>
        <w:topLinePunct w:val="0"/>
        <w:bidi w:val="0"/>
        <w:snapToGrid/>
        <w:spacing w:before="0" w:beforeAutospacing="0" w:after="0" w:afterAutospacing="0" w:line="360" w:lineRule="auto"/>
        <w:textAlignment w:val="auto"/>
        <w:rPr>
          <w:b/>
        </w:rPr>
      </w:pPr>
      <w:bookmarkStart w:id="55" w:name="_Toc20259"/>
      <w:r>
        <w:rPr>
          <w:b/>
        </w:rPr>
        <w:t>3.7 Ethical considerations</w:t>
      </w:r>
      <w:bookmarkEnd w:id="55"/>
      <w:r>
        <w:rPr>
          <w:b/>
        </w:rPr>
        <w:t xml:space="preserve"> </w:t>
      </w:r>
    </w:p>
    <w:p w14:paraId="34D5E26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Since the researcher used the data from customers which was collected through questionnaire, permission was obtained from the customers. To maintain the confidentiality of the information provided by the respondents, the respondents were instructed not to write their names on the questionnaire and assured of that the responses would be used only for academic purpose and kept confidential. Brief description of the central objectives or purpose of the study and the potential benefit of the research outcome to respondents and CRDB will clearly give in the introductory part of the questionnaire so as to motivate them and participate in the study and provide relevant information about the company under study. The principle of ethics were followed:</w:t>
      </w:r>
    </w:p>
    <w:p w14:paraId="4A597CD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A8CB21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Since the researcher used the data from customers which was collected through questionnaire, permission was obtained from the customers. To maintain the confidentiality of the information provided by the respondents, the respondents were instructed not to write their names on the questionnaire and assured of that the responses would be used only for academic purpose and kept confidential. Brief description of the central objectives or purpose of the study and the potential benefit of the research outcome to respondents and CRDB clearly gave in the introductory part of the questionnaire so as to motivate them and participate in the study and provide relevant information about the company under study. The principle of ethics were followed:</w:t>
      </w:r>
    </w:p>
    <w:p w14:paraId="45652D2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0C1F6F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Be inclusive. This includes, but is not limited to members of any sexual orientation, gender, identity, and expression, race, ethnicity, culture, national origin, social and economic class, educational level, color, immigration status, political belief, religion, and mental and physical ability.</w:t>
      </w:r>
    </w:p>
    <w:p w14:paraId="34A9FD5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7EA361D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5F1ADF8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Be respectful. The research must respect the respondent, the researcher must no allow frustration to turn into personal attacks. Finally, respondents were included in the study based on their free will. Texts belonging to other authors that have been used in any part of this study have been fully referenced with reference page.</w:t>
      </w:r>
      <w:bookmarkStart w:id="56" w:name="_Toc180502935"/>
      <w:bookmarkStart w:id="57" w:name="_Toc180503606"/>
      <w:bookmarkStart w:id="58" w:name="_Toc180502905"/>
    </w:p>
    <w:p w14:paraId="0A28F44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2D4BDF3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780FFDAB">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0A4E0B9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62142C5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1B0B718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697C9F2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3A7B91C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2703F69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035BA21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5CE2E78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180DAD9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58ECCB1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6238B83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2FB552D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5D80D58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33C24E5B">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48418D0B">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369B51A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69BC8F8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7E92457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1BAE349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1D6C168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66F15A9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0311020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5807435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2709829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38BFB71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47EA57C3">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59" w:name="_Toc16921"/>
      <w:r>
        <w:rPr>
          <w:b/>
        </w:rPr>
        <w:t>CHAPTER FOUR</w:t>
      </w:r>
      <w:bookmarkEnd w:id="59"/>
    </w:p>
    <w:p w14:paraId="36D3F69C">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60" w:name="_Toc4875"/>
      <w:r>
        <w:rPr>
          <w:b/>
        </w:rPr>
        <w:t>DATA PRESENTATION AND DISCUSSION OF FINDINGS</w:t>
      </w:r>
      <w:bookmarkEnd w:id="60"/>
    </w:p>
    <w:p w14:paraId="091A83E1"/>
    <w:p w14:paraId="2DE4BB7B">
      <w:pPr>
        <w:pStyle w:val="2"/>
        <w:pageBreakBefore w:val="0"/>
        <w:kinsoku/>
        <w:wordWrap/>
        <w:overflowPunct/>
        <w:topLinePunct w:val="0"/>
        <w:bidi w:val="0"/>
        <w:snapToGrid/>
        <w:spacing w:before="0" w:beforeAutospacing="0" w:after="0" w:afterAutospacing="0" w:line="360" w:lineRule="auto"/>
        <w:textAlignment w:val="auto"/>
        <w:rPr>
          <w:b/>
        </w:rPr>
      </w:pPr>
      <w:bookmarkStart w:id="61" w:name="_Toc10660"/>
      <w:r>
        <w:rPr>
          <w:b/>
        </w:rPr>
        <w:t>4.0 Chapter Overview</w:t>
      </w:r>
      <w:bookmarkEnd w:id="61"/>
      <w:r>
        <w:rPr>
          <w:b/>
        </w:rPr>
        <w:t xml:space="preserve"> </w:t>
      </w:r>
    </w:p>
    <w:p w14:paraId="2F2738F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This chapter provides an overview of the entire study, summarizing the key findings, conclusions, recommendations, and implications for both policy and future research. It begins by offering a concise </w:t>
      </w:r>
      <w:r>
        <w:rPr>
          <w:rStyle w:val="12"/>
          <w:rFonts w:ascii="Times New Roman" w:hAnsi="Times New Roman" w:cs="Times New Roman"/>
          <w:b w:val="0"/>
          <w:color w:val="000000" w:themeColor="text1"/>
          <w:sz w:val="24"/>
          <w:szCs w:val="24"/>
          <w14:textFill>
            <w14:solidFill>
              <w14:schemeClr w14:val="tx1"/>
            </w14:solidFill>
          </w14:textFill>
        </w:rPr>
        <w:t>summary of the whole study</w:t>
      </w:r>
      <w:r>
        <w:rPr>
          <w:rFonts w:ascii="Times New Roman" w:hAnsi="Times New Roman" w:cs="Times New Roman"/>
          <w:b/>
          <w:color w:val="000000" w:themeColor="text1"/>
          <w:sz w:val="24"/>
          <w:szCs w:val="24"/>
          <w14:textFill>
            <w14:solidFill>
              <w14:schemeClr w14:val="tx1"/>
            </w14:solidFill>
          </w14:textFill>
        </w:rPr>
        <w:t>,</w:t>
      </w:r>
      <w:r>
        <w:rPr>
          <w:rFonts w:ascii="Times New Roman" w:hAnsi="Times New Roman" w:cs="Times New Roman"/>
          <w:color w:val="000000" w:themeColor="text1"/>
          <w:sz w:val="24"/>
          <w:szCs w:val="24"/>
          <w14:textFill>
            <w14:solidFill>
              <w14:schemeClr w14:val="tx1"/>
            </w14:solidFill>
          </w14:textFill>
        </w:rPr>
        <w:t xml:space="preserve"> revisiting the research problem, the methodologies employed, and the main findings. This section serves as an outline of the research process and outcomes, ensuring that the reader understands how the study unfolded and what was achieved.</w:t>
      </w:r>
    </w:p>
    <w:p w14:paraId="54A4A29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38EA86F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chapter presents the </w:t>
      </w:r>
      <w:r>
        <w:rPr>
          <w:rStyle w:val="12"/>
          <w:rFonts w:ascii="Times New Roman" w:hAnsi="Times New Roman" w:cs="Times New Roman"/>
          <w:b w:val="0"/>
          <w:color w:val="000000" w:themeColor="text1"/>
          <w:sz w:val="24"/>
          <w:szCs w:val="24"/>
          <w14:textFill>
            <w14:solidFill>
              <w14:schemeClr w14:val="tx1"/>
            </w14:solidFill>
          </w14:textFill>
        </w:rPr>
        <w:t>conclusion of the study</w:t>
      </w:r>
      <w:r>
        <w:rPr>
          <w:rFonts w:ascii="Times New Roman" w:hAnsi="Times New Roman" w:cs="Times New Roman"/>
          <w:b/>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t>based on the research's specific objectives. Here, each research objective is revisited, and the findings are interpreted to draw conclusions. The conclusions synthesize the results to answer the research questions, highlighting whether the hypotheses or assumptions made at the beginning of the study were supported by the data and analysis. This section helps in demonstrating the contributions of the study to the academic or practical field in question.</w:t>
      </w:r>
    </w:p>
    <w:p w14:paraId="1729CD6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4ED9446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chapter then moves to </w:t>
      </w:r>
      <w:r>
        <w:rPr>
          <w:rStyle w:val="12"/>
          <w:rFonts w:ascii="Times New Roman" w:hAnsi="Times New Roman" w:cs="Times New Roman"/>
          <w:b w:val="0"/>
          <w:color w:val="000000" w:themeColor="text1"/>
          <w:sz w:val="24"/>
          <w:szCs w:val="24"/>
          <w14:textFill>
            <w14:solidFill>
              <w14:schemeClr w14:val="tx1"/>
            </w14:solidFill>
          </w14:textFill>
        </w:rPr>
        <w:t>recommendations</w:t>
      </w:r>
      <w:r>
        <w:rPr>
          <w:rFonts w:ascii="Times New Roman" w:hAnsi="Times New Roman" w:cs="Times New Roman"/>
          <w:color w:val="000000" w:themeColor="text1"/>
          <w:sz w:val="24"/>
          <w:szCs w:val="24"/>
          <w14:textFill>
            <w14:solidFill>
              <w14:schemeClr w14:val="tx1"/>
            </w14:solidFill>
          </w14:textFill>
        </w:rPr>
        <w:t>, which are practical suggestions arising from the study's findings. These recommendations might be directed at practitioners, policymakers, or other stakeholders, offering them actionable steps to address the issues identified in the research. Recommendations can also include suggestions for improving practices, processes, or systems that are relevant to the topic under investigation.</w:t>
      </w:r>
    </w:p>
    <w:p w14:paraId="5A603F7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73E7379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The chapter discusses the </w:t>
      </w:r>
      <w:r>
        <w:rPr>
          <w:rStyle w:val="12"/>
          <w:rFonts w:ascii="Times New Roman" w:hAnsi="Times New Roman" w:cs="Times New Roman"/>
          <w:b w:val="0"/>
          <w:color w:val="000000" w:themeColor="text1"/>
          <w:sz w:val="24"/>
          <w:szCs w:val="24"/>
          <w14:textFill>
            <w14:solidFill>
              <w14:schemeClr w14:val="tx1"/>
            </w14:solidFill>
          </w14:textFill>
        </w:rPr>
        <w:t>policy implications</w:t>
      </w:r>
      <w:r>
        <w:rPr>
          <w:rFonts w:ascii="Times New Roman" w:hAnsi="Times New Roman" w:cs="Times New Roman"/>
          <w:color w:val="000000" w:themeColor="text1"/>
          <w:sz w:val="24"/>
          <w:szCs w:val="24"/>
          <w14:textFill>
            <w14:solidFill>
              <w14:schemeClr w14:val="tx1"/>
            </w14:solidFill>
          </w14:textFill>
        </w:rPr>
        <w:t xml:space="preserve"> and outlines </w:t>
      </w:r>
      <w:r>
        <w:rPr>
          <w:rStyle w:val="12"/>
          <w:rFonts w:ascii="Times New Roman" w:hAnsi="Times New Roman" w:cs="Times New Roman"/>
          <w:b w:val="0"/>
          <w:color w:val="000000" w:themeColor="text1"/>
          <w:sz w:val="24"/>
          <w:szCs w:val="24"/>
          <w14:textFill>
            <w14:solidFill>
              <w14:schemeClr w14:val="tx1"/>
            </w14:solidFill>
          </w14:textFill>
        </w:rPr>
        <w:t>areas for further studie</w:t>
      </w:r>
      <w:r>
        <w:rPr>
          <w:rStyle w:val="12"/>
          <w:rFonts w:ascii="Times New Roman" w:hAnsi="Times New Roman" w:cs="Times New Roman"/>
          <w:color w:val="000000" w:themeColor="text1"/>
          <w:sz w:val="24"/>
          <w:szCs w:val="24"/>
          <w14:textFill>
            <w14:solidFill>
              <w14:schemeClr w14:val="tx1"/>
            </w14:solidFill>
          </w14:textFill>
        </w:rPr>
        <w:t>s</w:t>
      </w:r>
      <w:r>
        <w:rPr>
          <w:rFonts w:ascii="Times New Roman" w:hAnsi="Times New Roman" w:cs="Times New Roman"/>
          <w:color w:val="000000" w:themeColor="text1"/>
          <w:sz w:val="24"/>
          <w:szCs w:val="24"/>
          <w14:textFill>
            <w14:solidFill>
              <w14:schemeClr w14:val="tx1"/>
            </w14:solidFill>
          </w14:textFill>
        </w:rPr>
        <w:t>. The policy implications section considers how the study’s findings might inform the development or revision of policies related to the subject matter. It identifies gaps in existing policies or highlights areas where policies have to be  strengthened</w:t>
      </w:r>
    </w:p>
    <w:p w14:paraId="15B0E11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60259668">
      <w:pPr>
        <w:pStyle w:val="2"/>
        <w:pageBreakBefore w:val="0"/>
        <w:kinsoku/>
        <w:wordWrap/>
        <w:overflowPunct/>
        <w:topLinePunct w:val="0"/>
        <w:bidi w:val="0"/>
        <w:snapToGrid/>
        <w:spacing w:before="0" w:beforeAutospacing="0" w:after="0" w:afterAutospacing="0" w:line="360" w:lineRule="auto"/>
        <w:textAlignment w:val="auto"/>
        <w:rPr>
          <w:b/>
        </w:rPr>
      </w:pPr>
      <w:bookmarkStart w:id="62" w:name="_Toc29878"/>
      <w:r>
        <w:rPr>
          <w:b/>
        </w:rPr>
        <w:t>4.1 Response Rate</w:t>
      </w:r>
      <w:bookmarkEnd w:id="62"/>
      <w:r>
        <w:rPr>
          <w:b/>
        </w:rPr>
        <w:t xml:space="preserve"> </w:t>
      </w:r>
    </w:p>
    <w:p w14:paraId="2BD44BB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 xml:space="preserve">The response rate of respondents refers to the percentage of individuals who participated in a survey or study out of the total number of people contacted or invited to participate. This metric is crucial for evaluating the reliability and validity of research findings, as a higher response rate often indicates that the data collected is representative of the target population. In the context of the study on the influence of disconfirmation of belief on customer satisfaction in financial institutions, a robust response rate enhances the credibility of the conclusions drawn about customer perceptions and satisfaction levels. It ensures that the insights gained reflect a wide range of experiences and beliefs, which is particularly important when assessing how disconfirmation of expectations may vary among different demographic groups within the customer base. A strong response rate thus allows financial institutions to make informed decisions based on accurate representations of customer sentiments and behaviors. Table 4.1 below shows the response rate of respondents. </w:t>
      </w:r>
    </w:p>
    <w:p w14:paraId="6A5FFCA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68D7061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Table 4.1: Response rate</w:t>
      </w:r>
    </w:p>
    <w:tbl>
      <w:tblPr>
        <w:tblStyle w:val="26"/>
        <w:tblW w:w="0" w:type="auto"/>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autofit"/>
        <w:tblCellMar>
          <w:top w:w="0" w:type="dxa"/>
          <w:left w:w="108" w:type="dxa"/>
          <w:bottom w:w="0" w:type="dxa"/>
          <w:right w:w="108" w:type="dxa"/>
        </w:tblCellMar>
      </w:tblPr>
      <w:tblGrid>
        <w:gridCol w:w="2039"/>
        <w:gridCol w:w="2213"/>
        <w:gridCol w:w="2256"/>
        <w:gridCol w:w="1906"/>
      </w:tblGrid>
      <w:tr w14:paraId="0C0BA5A0">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082" w:type="dxa"/>
            <w:shd w:val="clear" w:color="auto" w:fill="auto"/>
          </w:tcPr>
          <w:p w14:paraId="2F0416D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Sent</w:t>
            </w:r>
          </w:p>
        </w:tc>
        <w:tc>
          <w:tcPr>
            <w:tcW w:w="2247" w:type="dxa"/>
            <w:shd w:val="clear" w:color="auto" w:fill="auto"/>
          </w:tcPr>
          <w:p w14:paraId="0D47558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Received</w:t>
            </w:r>
          </w:p>
        </w:tc>
        <w:tc>
          <w:tcPr>
            <w:tcW w:w="2289" w:type="dxa"/>
            <w:shd w:val="clear" w:color="auto" w:fill="auto"/>
          </w:tcPr>
          <w:p w14:paraId="6527920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Discarded </w:t>
            </w:r>
          </w:p>
        </w:tc>
        <w:tc>
          <w:tcPr>
            <w:tcW w:w="1926" w:type="dxa"/>
            <w:shd w:val="clear" w:color="auto" w:fill="auto"/>
          </w:tcPr>
          <w:p w14:paraId="4640A40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Response rate </w:t>
            </w:r>
          </w:p>
        </w:tc>
      </w:tr>
      <w:tr w14:paraId="5FC83E05">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082" w:type="dxa"/>
            <w:shd w:val="clear" w:color="auto" w:fill="auto"/>
          </w:tcPr>
          <w:p w14:paraId="374CC81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35</w:t>
            </w:r>
          </w:p>
        </w:tc>
        <w:tc>
          <w:tcPr>
            <w:tcW w:w="2247" w:type="dxa"/>
            <w:shd w:val="clear" w:color="auto" w:fill="auto"/>
          </w:tcPr>
          <w:p w14:paraId="6804BAB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35</w:t>
            </w:r>
          </w:p>
        </w:tc>
        <w:tc>
          <w:tcPr>
            <w:tcW w:w="2289" w:type="dxa"/>
            <w:shd w:val="clear" w:color="auto" w:fill="auto"/>
          </w:tcPr>
          <w:p w14:paraId="599F773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5</w:t>
            </w:r>
          </w:p>
        </w:tc>
        <w:tc>
          <w:tcPr>
            <w:tcW w:w="1926" w:type="dxa"/>
            <w:shd w:val="clear" w:color="auto" w:fill="auto"/>
          </w:tcPr>
          <w:p w14:paraId="4549DA5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30(85.7%)</w:t>
            </w:r>
          </w:p>
        </w:tc>
      </w:tr>
    </w:tbl>
    <w:p w14:paraId="2C51D1B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Source: Field Data, 2024</w:t>
      </w:r>
    </w:p>
    <w:p w14:paraId="3FDC148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response rate from Table 4.1 shows a strong participation level in the survey, with 35 questionnaires initially sent out and all 35 received back, indicating a 100% return rate. However, five of these responses were discarded due to reasons potentially such as incomplete answers or errors, leaving a total of 30 usable responses. This results in a final effective response rate of 85.7%, calculated based on the 30 valid responses out of the 35 initially sent.</w:t>
      </w:r>
    </w:p>
    <w:p w14:paraId="381DE3E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0E35670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An 85.7% response rate is typically considered high and suggests a good level of engagement and reliability in the data collected. This rate reflects a high willingness among participants to complete and return the survey, which could indicate interest or relevance of the survey topic to the respondents. Such a strong response rate also enhances the representativeness of the findings, reducing the potential for response bias and supporting the validity of the study's result.</w:t>
      </w:r>
    </w:p>
    <w:p w14:paraId="6F74288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8"/>
          <w14:textFill>
            <w14:solidFill>
              <w14:schemeClr w14:val="tx1"/>
            </w14:solidFill>
          </w14:textFill>
        </w:rPr>
      </w:pPr>
      <w:r>
        <w:rPr>
          <w:rFonts w:ascii="Times New Roman" w:hAnsi="Times New Roman" w:cs="Times New Roman"/>
          <w:color w:val="000000" w:themeColor="text1"/>
          <w:sz w:val="24"/>
          <w:szCs w:val="28"/>
          <w14:textFill>
            <w14:solidFill>
              <w14:schemeClr w14:val="tx1"/>
            </w14:solidFill>
          </w14:textFill>
        </w:rPr>
        <w:t>The findings on bank visit frequency and the high response rate are closely linked to understanding the influence of service quality on customer satisfaction at CRDB Bank’s Temeke branch. With 56.7% of respondents visiting the bank weekly, it’s evident that many rely on regular in-person services, emphasizing the need for consistent, high-quality customer service to positively influence their satisfaction. Additionally, the strong response rate of 85.7% supports the data's reliability, suggesting that the topic of service quality is relevant to customers and directly impacts their banking experience. This robust participation reduces response bias and strengthens the validity of the study, offering insights into customer needs and highlighting areas for service quality improvements to enhance overall satisfaction</w:t>
      </w:r>
    </w:p>
    <w:p w14:paraId="4C17BE7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8"/>
          <w14:textFill>
            <w14:solidFill>
              <w14:schemeClr w14:val="tx1"/>
            </w14:solidFill>
          </w14:textFill>
        </w:rPr>
      </w:pPr>
    </w:p>
    <w:p w14:paraId="10C9678F">
      <w:pPr>
        <w:pStyle w:val="2"/>
        <w:pageBreakBefore w:val="0"/>
        <w:kinsoku/>
        <w:wordWrap/>
        <w:overflowPunct/>
        <w:topLinePunct w:val="0"/>
        <w:bidi w:val="0"/>
        <w:snapToGrid/>
        <w:spacing w:before="0" w:beforeAutospacing="0" w:after="0" w:afterAutospacing="0" w:line="360" w:lineRule="auto"/>
        <w:textAlignment w:val="auto"/>
        <w:rPr>
          <w:b/>
        </w:rPr>
      </w:pPr>
      <w:bookmarkStart w:id="63" w:name="_Toc9562"/>
      <w:r>
        <w:rPr>
          <w:b/>
        </w:rPr>
        <w:t>4.2 Demographic Characteristics of Respondents</w:t>
      </w:r>
      <w:bookmarkEnd w:id="63"/>
    </w:p>
    <w:p w14:paraId="76A3B11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Demographic characteristics of respondents refer to the statistical data that describe the individual attributes of survey participants, such as age, gender, income level, education, and occupation. In the context of the study on the influence of disconfirmation of belief on customer satisfaction in financial institutions, understanding these demographic characteristics is crucial as they provide insights into how different groups may perceive and evaluate service quality. For example, variations in age or income can influence expectations and experiences with banking services, affecting how disconfirmation—where actual service outcomes do not meet preconceived beliefs—impacts overall satisfaction. By analyzing these demographic factors, the study can better assess the relationship between customer characteristics and their satisfaction levels, ultimately helping financial institutions tailor their services to meet the diverse needs of their clientele effectively. </w:t>
      </w:r>
    </w:p>
    <w:p w14:paraId="15C1F16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26EA67D6">
      <w:pPr>
        <w:pStyle w:val="2"/>
        <w:pageBreakBefore w:val="0"/>
        <w:kinsoku/>
        <w:wordWrap/>
        <w:overflowPunct/>
        <w:topLinePunct w:val="0"/>
        <w:bidi w:val="0"/>
        <w:snapToGrid/>
        <w:spacing w:before="0" w:beforeAutospacing="0" w:after="0" w:afterAutospacing="0" w:line="360" w:lineRule="auto"/>
        <w:textAlignment w:val="auto"/>
        <w:rPr>
          <w:b/>
        </w:rPr>
      </w:pPr>
      <w:bookmarkStart w:id="64" w:name="_Toc25235"/>
      <w:r>
        <w:rPr>
          <w:b/>
        </w:rPr>
        <w:t>4.2.1 Sex of respondents</w:t>
      </w:r>
      <w:bookmarkEnd w:id="64"/>
    </w:p>
    <w:p w14:paraId="115C3B4B">
      <w:pPr>
        <w:pageBreakBefore w:val="0"/>
        <w:kinsoku/>
        <w:wordWrap/>
        <w:overflowPunct/>
        <w:topLinePunct w:val="0"/>
        <w:bidi w:val="0"/>
        <w:snapToGrid/>
        <w:spacing w:beforeAutospacing="0" w:after="0" w:afterAutospacing="0" w:line="360" w:lineRule="auto"/>
        <w:jc w:val="both"/>
        <w:textAlignment w:val="auto"/>
        <w:rPr>
          <w:color w:val="000000" w:themeColor="text1"/>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Sex respondents refer to the classification of survey participants based on their biological sex, typically categorized as male or female. In the study of the influence of disconfirmation of belief on customer satisfaction in financial institutions, examining the sex of respondents is relevant because it can reveal potential differences in perceptions, expectations, and experiences between genders. For instance, men and women may have varying beliefs about service quality or differing responses to service failures, which can influence their levels of satisfaction when those beliefs are disconfirmed. Understanding these differences allows researchers to identify specific areas where financial institutions may need to adapt their services or communication strategies to enhance customer </w:t>
      </w:r>
      <w:r>
        <w:rPr>
          <w:rFonts w:ascii="Times New Roman" w:hAnsi="Times New Roman" w:cs="Times New Roman"/>
          <w:color w:val="000000" w:themeColor="text1"/>
          <w:sz w:val="24"/>
          <w:szCs w:val="24"/>
          <w14:textFill>
            <w14:solidFill>
              <w14:schemeClr w14:val="tx1"/>
            </w14:solidFill>
          </w14:textFill>
        </w:rPr>
        <w:t>satisfaction across different gender groups, ensuring that all customers feel valued and understood. Table 4.2 shows sex of respondents</w:t>
      </w:r>
      <w:r>
        <w:rPr>
          <w:color w:val="000000" w:themeColor="text1"/>
          <w14:textFill>
            <w14:solidFill>
              <w14:schemeClr w14:val="tx1"/>
            </w14:solidFill>
          </w14:textFill>
        </w:rPr>
        <w:t xml:space="preserve">. </w:t>
      </w:r>
    </w:p>
    <w:p w14:paraId="3CDC446A">
      <w:pPr>
        <w:pageBreakBefore w:val="0"/>
        <w:kinsoku/>
        <w:wordWrap/>
        <w:overflowPunct/>
        <w:topLinePunct w:val="0"/>
        <w:bidi w:val="0"/>
        <w:snapToGrid/>
        <w:spacing w:beforeAutospacing="0" w:after="0" w:afterAutospacing="0" w:line="360" w:lineRule="auto"/>
        <w:jc w:val="both"/>
        <w:textAlignment w:val="auto"/>
        <w:rPr>
          <w:color w:val="000000" w:themeColor="text1"/>
          <w14:textFill>
            <w14:solidFill>
              <w14:schemeClr w14:val="tx1"/>
            </w14:solidFill>
          </w14:textFill>
        </w:rPr>
      </w:pPr>
    </w:p>
    <w:p w14:paraId="661F2E4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Table 4.2: Sex of respondents</w:t>
      </w:r>
    </w:p>
    <w:tbl>
      <w:tblPr>
        <w:tblStyle w:val="26"/>
        <w:tblW w:w="0" w:type="auto"/>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autofit"/>
        <w:tblCellMar>
          <w:top w:w="0" w:type="dxa"/>
          <w:left w:w="108" w:type="dxa"/>
          <w:bottom w:w="0" w:type="dxa"/>
          <w:right w:w="108" w:type="dxa"/>
        </w:tblCellMar>
      </w:tblPr>
      <w:tblGrid>
        <w:gridCol w:w="2101"/>
        <w:gridCol w:w="2110"/>
        <w:gridCol w:w="1730"/>
        <w:gridCol w:w="2473"/>
      </w:tblGrid>
      <w:tr w14:paraId="588E2FE5">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707D5DE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p>
        </w:tc>
        <w:tc>
          <w:tcPr>
            <w:tcW w:w="2136" w:type="dxa"/>
            <w:shd w:val="clear" w:color="auto" w:fill="auto"/>
          </w:tcPr>
          <w:p w14:paraId="227A832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Frequency</w:t>
            </w:r>
          </w:p>
        </w:tc>
        <w:tc>
          <w:tcPr>
            <w:tcW w:w="1753" w:type="dxa"/>
            <w:shd w:val="clear" w:color="auto" w:fill="auto"/>
          </w:tcPr>
          <w:p w14:paraId="13D2003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Percent (%)</w:t>
            </w:r>
          </w:p>
        </w:tc>
        <w:tc>
          <w:tcPr>
            <w:tcW w:w="2519" w:type="dxa"/>
            <w:shd w:val="clear" w:color="auto" w:fill="auto"/>
          </w:tcPr>
          <w:p w14:paraId="1C6AD6D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Cumm. Percent  (%)</w:t>
            </w:r>
          </w:p>
        </w:tc>
      </w:tr>
      <w:tr w14:paraId="28D03D0F">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0719ADA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Male </w:t>
            </w:r>
          </w:p>
        </w:tc>
        <w:tc>
          <w:tcPr>
            <w:tcW w:w="2136" w:type="dxa"/>
            <w:shd w:val="clear" w:color="auto" w:fill="auto"/>
          </w:tcPr>
          <w:p w14:paraId="27177059">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14</w:t>
            </w:r>
          </w:p>
        </w:tc>
        <w:tc>
          <w:tcPr>
            <w:tcW w:w="1753" w:type="dxa"/>
            <w:shd w:val="clear" w:color="auto" w:fill="auto"/>
          </w:tcPr>
          <w:p w14:paraId="5C293DF0">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46.7</w:t>
            </w:r>
          </w:p>
        </w:tc>
        <w:tc>
          <w:tcPr>
            <w:tcW w:w="2519" w:type="dxa"/>
            <w:shd w:val="clear" w:color="auto" w:fill="auto"/>
          </w:tcPr>
          <w:p w14:paraId="7A02D476">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46.7</w:t>
            </w:r>
          </w:p>
        </w:tc>
      </w:tr>
      <w:tr w14:paraId="51725230">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2810148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Female </w:t>
            </w:r>
          </w:p>
        </w:tc>
        <w:tc>
          <w:tcPr>
            <w:tcW w:w="2136" w:type="dxa"/>
            <w:shd w:val="clear" w:color="auto" w:fill="auto"/>
          </w:tcPr>
          <w:p w14:paraId="6B908981">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16</w:t>
            </w:r>
          </w:p>
        </w:tc>
        <w:tc>
          <w:tcPr>
            <w:tcW w:w="1753" w:type="dxa"/>
            <w:shd w:val="clear" w:color="auto" w:fill="auto"/>
          </w:tcPr>
          <w:p w14:paraId="68FE9B27">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53.3</w:t>
            </w:r>
          </w:p>
        </w:tc>
        <w:tc>
          <w:tcPr>
            <w:tcW w:w="2519" w:type="dxa"/>
            <w:shd w:val="clear" w:color="auto" w:fill="auto"/>
          </w:tcPr>
          <w:p w14:paraId="41212AEF">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100</w:t>
            </w:r>
          </w:p>
        </w:tc>
      </w:tr>
      <w:tr w14:paraId="20806816">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68C769B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 xml:space="preserve">Total </w:t>
            </w:r>
          </w:p>
        </w:tc>
        <w:tc>
          <w:tcPr>
            <w:tcW w:w="2136" w:type="dxa"/>
            <w:shd w:val="clear" w:color="auto" w:fill="auto"/>
          </w:tcPr>
          <w:p w14:paraId="66E794B7">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30</w:t>
            </w:r>
          </w:p>
        </w:tc>
        <w:tc>
          <w:tcPr>
            <w:tcW w:w="1753" w:type="dxa"/>
            <w:shd w:val="clear" w:color="auto" w:fill="auto"/>
          </w:tcPr>
          <w:p w14:paraId="11108ED0">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100</w:t>
            </w:r>
          </w:p>
        </w:tc>
        <w:tc>
          <w:tcPr>
            <w:tcW w:w="2519" w:type="dxa"/>
            <w:shd w:val="clear" w:color="auto" w:fill="auto"/>
          </w:tcPr>
          <w:p w14:paraId="0BF90CF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tc>
      </w:tr>
    </w:tbl>
    <w:p w14:paraId="48A9125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Source: Field data, 2024</w:t>
      </w:r>
    </w:p>
    <w:p w14:paraId="35B87AD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 xml:space="preserve">The findings from Table 4.2 highlight a nearly balanced gender distribution among respondents, with females representing a slightly higher proportion at 53.3% compared to 46.7% for males. This balance suggests an inclusive sampling approach that captures insights from both genders, contributing to a more comprehensive understanding of the study's subject. The cumulative percentage shows that 100% of respondents were accounted for, indicating that all responses were effectively categorized by gender. The slight majority of female respondents (16 out of 30) might reflect the demographic focus or interest of the study population. This distribution can provide valuable perspectives, especially if the study topic is gender-sensitive or seeks to understand gender-specific experiences and viewpoints. </w:t>
      </w:r>
    </w:p>
    <w:p w14:paraId="495E19F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47A4BA7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8"/>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nearly balanced gender distribution among respondents, with females slightly outnumbering males (53.3% versus 46.7%), aligns well with the study’s focus on the influence of service quality on customer satisfaction at CRDB Bank’s Temeke branch. This gender balance suggests an inclusive sampling, ensuring that insights reflect the experiences and satisfaction levels of both male and female customers. The slight female majority may add depth to the findings, especially if customer satisfaction varies by gender or if gender-specific expectations exist around service quality in banking. This distribution enables a well-rounded analysis of how service quality impacts customer satisfaction across gender lines, enhancing the study's ability to address gender-sensitive factors in service delivery.</w:t>
      </w:r>
    </w:p>
    <w:p w14:paraId="1AC98A9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276CACD8">
      <w:pPr>
        <w:pStyle w:val="2"/>
        <w:pageBreakBefore w:val="0"/>
        <w:kinsoku/>
        <w:wordWrap/>
        <w:overflowPunct/>
        <w:topLinePunct w:val="0"/>
        <w:bidi w:val="0"/>
        <w:snapToGrid/>
        <w:spacing w:before="0" w:beforeAutospacing="0" w:after="0" w:afterAutospacing="0" w:line="360" w:lineRule="auto"/>
        <w:textAlignment w:val="auto"/>
        <w:rPr>
          <w:b/>
        </w:rPr>
      </w:pPr>
      <w:bookmarkStart w:id="65" w:name="_Toc28525"/>
      <w:r>
        <w:rPr>
          <w:b/>
        </w:rPr>
        <w:t>4.2.2 Age of respondents</w:t>
      </w:r>
      <w:bookmarkEnd w:id="65"/>
    </w:p>
    <w:p w14:paraId="1656773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Age respondents refer to the categorization of survey participants based on their age, often grouped into specific ranges such as 18-24, 25-31, 32-38, and 39 and above. In the context of the study examining the influence of disconfirmation of belief on customer satisfaction in financial institutions, age is a critical demographic characteristic as it can significantly impact customers' expectations, service usage patterns, and overall satisfaction. Different age groups may possess varying levels of familiarity with financial products and services, which can shape their beliefs about service quality. For example, younger customers may have different expectations regarding digital banking features compared to older customers who might prioritize face-to-face interactions. By analyzing age-related differences in perceptions and satisfaction levels, the study can provide valuable insights for financial institutions to tailor their services and marketing strategies to meet the diverse needs of their customers across different age brackets. Table 4.3 below shows the age of respondents </w:t>
      </w:r>
    </w:p>
    <w:p w14:paraId="6F006A1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7CA83062">
      <w:pPr>
        <w:pStyle w:val="8"/>
        <w:pageBreakBefore w:val="0"/>
        <w:shd w:val="clear" w:color="auto" w:fill="FFFFFF"/>
        <w:kinsoku/>
        <w:wordWrap/>
        <w:overflowPunct/>
        <w:topLinePunct w:val="0"/>
        <w:bidi w:val="0"/>
        <w:snapToGrid/>
        <w:spacing w:beforeAutospacing="0" w:after="0" w:afterAutospacing="0" w:line="360" w:lineRule="auto"/>
        <w:textAlignment w:val="auto"/>
        <w:rPr>
          <w:b w:val="0"/>
          <w:i/>
          <w:color w:val="000000"/>
          <w:szCs w:val="24"/>
        </w:rPr>
      </w:pPr>
      <w:bookmarkStart w:id="66" w:name="_Toc146023896"/>
      <w:bookmarkStart w:id="67" w:name="_Toc3908"/>
      <w:bookmarkStart w:id="68" w:name="_Toc50830697"/>
      <w:bookmarkStart w:id="69" w:name="_Toc360908979"/>
      <w:r>
        <w:rPr>
          <w:color w:val="000000"/>
          <w:szCs w:val="24"/>
        </w:rPr>
        <w:t>Table 4.1: Response Rate</w:t>
      </w:r>
      <w:bookmarkEnd w:id="66"/>
      <w:bookmarkEnd w:id="67"/>
      <w:bookmarkEnd w:id="68"/>
      <w:bookmarkEnd w:id="69"/>
    </w:p>
    <w:tbl>
      <w:tblPr>
        <w:tblStyle w:val="26"/>
        <w:tblW w:w="0" w:type="auto"/>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autofit"/>
        <w:tblCellMar>
          <w:top w:w="0" w:type="dxa"/>
          <w:left w:w="108" w:type="dxa"/>
          <w:bottom w:w="0" w:type="dxa"/>
          <w:right w:w="108" w:type="dxa"/>
        </w:tblCellMar>
      </w:tblPr>
      <w:tblGrid>
        <w:gridCol w:w="2098"/>
        <w:gridCol w:w="2111"/>
        <w:gridCol w:w="2102"/>
        <w:gridCol w:w="2103"/>
      </w:tblGrid>
      <w:tr w14:paraId="6F400773">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3E28094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p>
        </w:tc>
        <w:tc>
          <w:tcPr>
            <w:tcW w:w="2136" w:type="dxa"/>
            <w:shd w:val="clear" w:color="auto" w:fill="auto"/>
          </w:tcPr>
          <w:p w14:paraId="2582A7B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Frequency</w:t>
            </w:r>
          </w:p>
        </w:tc>
        <w:tc>
          <w:tcPr>
            <w:tcW w:w="2136" w:type="dxa"/>
            <w:shd w:val="clear" w:color="auto" w:fill="auto"/>
          </w:tcPr>
          <w:p w14:paraId="23C9298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Percent</w:t>
            </w:r>
          </w:p>
        </w:tc>
        <w:tc>
          <w:tcPr>
            <w:tcW w:w="2136" w:type="dxa"/>
            <w:shd w:val="clear" w:color="auto" w:fill="auto"/>
          </w:tcPr>
          <w:p w14:paraId="67C27AA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Cumm. Percent </w:t>
            </w:r>
          </w:p>
        </w:tc>
      </w:tr>
      <w:tr w14:paraId="24590EA9">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44F274C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18-24</w:t>
            </w:r>
          </w:p>
        </w:tc>
        <w:tc>
          <w:tcPr>
            <w:tcW w:w="2136" w:type="dxa"/>
            <w:shd w:val="clear" w:color="auto" w:fill="auto"/>
          </w:tcPr>
          <w:p w14:paraId="48ACA3FB">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4</w:t>
            </w:r>
          </w:p>
        </w:tc>
        <w:tc>
          <w:tcPr>
            <w:tcW w:w="2136" w:type="dxa"/>
            <w:shd w:val="clear" w:color="auto" w:fill="auto"/>
          </w:tcPr>
          <w:p w14:paraId="40275A70">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13.3</w:t>
            </w:r>
          </w:p>
        </w:tc>
        <w:tc>
          <w:tcPr>
            <w:tcW w:w="2136" w:type="dxa"/>
            <w:shd w:val="clear" w:color="auto" w:fill="auto"/>
          </w:tcPr>
          <w:p w14:paraId="3E9D4188">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13.3</w:t>
            </w:r>
          </w:p>
        </w:tc>
      </w:tr>
      <w:tr w14:paraId="08B4C8DE">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3E46C83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25-31</w:t>
            </w:r>
          </w:p>
        </w:tc>
        <w:tc>
          <w:tcPr>
            <w:tcW w:w="2136" w:type="dxa"/>
            <w:shd w:val="clear" w:color="auto" w:fill="auto"/>
          </w:tcPr>
          <w:p w14:paraId="1701719C">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7</w:t>
            </w:r>
          </w:p>
        </w:tc>
        <w:tc>
          <w:tcPr>
            <w:tcW w:w="2136" w:type="dxa"/>
            <w:shd w:val="clear" w:color="auto" w:fill="auto"/>
          </w:tcPr>
          <w:p w14:paraId="12867BDC">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23.3</w:t>
            </w:r>
          </w:p>
        </w:tc>
        <w:tc>
          <w:tcPr>
            <w:tcW w:w="2136" w:type="dxa"/>
            <w:shd w:val="clear" w:color="auto" w:fill="auto"/>
          </w:tcPr>
          <w:p w14:paraId="5CDF8A26">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36.6</w:t>
            </w:r>
          </w:p>
        </w:tc>
      </w:tr>
      <w:tr w14:paraId="512FD140">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39E58D7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32-38</w:t>
            </w:r>
          </w:p>
        </w:tc>
        <w:tc>
          <w:tcPr>
            <w:tcW w:w="2136" w:type="dxa"/>
            <w:shd w:val="clear" w:color="auto" w:fill="auto"/>
          </w:tcPr>
          <w:p w14:paraId="7FF055C1">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8</w:t>
            </w:r>
          </w:p>
        </w:tc>
        <w:tc>
          <w:tcPr>
            <w:tcW w:w="2136" w:type="dxa"/>
            <w:shd w:val="clear" w:color="auto" w:fill="auto"/>
          </w:tcPr>
          <w:p w14:paraId="51167C2A">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26.7</w:t>
            </w:r>
          </w:p>
        </w:tc>
        <w:tc>
          <w:tcPr>
            <w:tcW w:w="2136" w:type="dxa"/>
            <w:shd w:val="clear" w:color="auto" w:fill="auto"/>
          </w:tcPr>
          <w:p w14:paraId="6D99D401">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63.3</w:t>
            </w:r>
          </w:p>
        </w:tc>
      </w:tr>
      <w:tr w14:paraId="3BB2CBA3">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7CE1598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39 and above</w:t>
            </w:r>
          </w:p>
        </w:tc>
        <w:tc>
          <w:tcPr>
            <w:tcW w:w="2136" w:type="dxa"/>
            <w:shd w:val="clear" w:color="auto" w:fill="auto"/>
          </w:tcPr>
          <w:p w14:paraId="63DC3AF1">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11</w:t>
            </w:r>
          </w:p>
        </w:tc>
        <w:tc>
          <w:tcPr>
            <w:tcW w:w="2136" w:type="dxa"/>
            <w:shd w:val="clear" w:color="auto" w:fill="auto"/>
          </w:tcPr>
          <w:p w14:paraId="2E229DA7">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36.7</w:t>
            </w:r>
          </w:p>
        </w:tc>
        <w:tc>
          <w:tcPr>
            <w:tcW w:w="2136" w:type="dxa"/>
            <w:shd w:val="clear" w:color="auto" w:fill="auto"/>
          </w:tcPr>
          <w:p w14:paraId="39600E12">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100.0</w:t>
            </w:r>
          </w:p>
        </w:tc>
      </w:tr>
      <w:tr w14:paraId="008AC0F7">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1C2FAE1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 xml:space="preserve">Total </w:t>
            </w:r>
          </w:p>
        </w:tc>
        <w:tc>
          <w:tcPr>
            <w:tcW w:w="2136" w:type="dxa"/>
            <w:shd w:val="clear" w:color="auto" w:fill="auto"/>
          </w:tcPr>
          <w:p w14:paraId="619D0FCA">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30</w:t>
            </w:r>
          </w:p>
        </w:tc>
        <w:tc>
          <w:tcPr>
            <w:tcW w:w="2136" w:type="dxa"/>
            <w:shd w:val="clear" w:color="auto" w:fill="auto"/>
          </w:tcPr>
          <w:p w14:paraId="5A00CFE1">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100</w:t>
            </w:r>
          </w:p>
        </w:tc>
        <w:tc>
          <w:tcPr>
            <w:tcW w:w="2136" w:type="dxa"/>
            <w:shd w:val="clear" w:color="auto" w:fill="auto"/>
          </w:tcPr>
          <w:p w14:paraId="0359591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tc>
      </w:tr>
    </w:tbl>
    <w:p w14:paraId="1527F89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Source: Field data, 2024</w:t>
      </w:r>
    </w:p>
    <w:p w14:paraId="64C52E5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The findings presented in Table 4.3 reveal a diverse age distribution among the respondents. A total of 30 individuals participated in the study, with the largest age group being those aged 39 and above, accounting for 36.7% of the respondents. This indicates that the survey attracted a significant portion of older participants, which may provide insights into the perspectives and experiences of this demographic. The second-largest group consists of respondents aged 32-38, representing 26.7%, followed by those aged 25-31 at 23.3%. The youngest age group, 18-24, comprised only 13.3% of the respondents, suggesting that younger individuals were less represented in the study. Cumulatively, these findings indicate that approximately 63.3% of respondents are aged 32 and older, suggesting a trend toward older age brackets in the data set. This distribution could influence the overall outcomes of the study, as older individuals may have different experiences and insights compared to their younger counterparts.</w:t>
      </w:r>
    </w:p>
    <w:p w14:paraId="7B7D01A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506A48D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8"/>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The age distribution among respondents, with 63.3% aged 32 and older, offers valuable insights into how service quality influences customer satisfaction for different age groups at CRDB Bank’s Temeke branch. The predominance of older participants (36.7% aged 39 and above) suggests that many respondents may have long-standing relationships with the bank and, therefore, specific expectations regarding service quality based on experience. The presence of younger age groups, though smaller (13.3% for ages 18-24), provides a contrasting perspective, as younger customers may prioritize different aspects of service quality, such as digital accessibility. This diverse age representation allows the study to capture varied satisfaction levels and expectations, enhancing the understanding of how age may impact perceptions of service quality in a financial institution. </w:t>
      </w:r>
    </w:p>
    <w:p w14:paraId="2A07B32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138F2F07">
      <w:pPr>
        <w:pStyle w:val="2"/>
        <w:pageBreakBefore w:val="0"/>
        <w:kinsoku/>
        <w:wordWrap/>
        <w:overflowPunct/>
        <w:topLinePunct w:val="0"/>
        <w:bidi w:val="0"/>
        <w:snapToGrid/>
        <w:spacing w:before="0" w:beforeAutospacing="0" w:after="0" w:afterAutospacing="0" w:line="360" w:lineRule="auto"/>
        <w:textAlignment w:val="auto"/>
        <w:rPr>
          <w:b/>
        </w:rPr>
      </w:pPr>
      <w:bookmarkStart w:id="70" w:name="_Toc9600"/>
      <w:r>
        <w:rPr>
          <w:b/>
        </w:rPr>
        <w:t>4.2.4 Frequency of visiting CRDB bank</w:t>
      </w:r>
      <w:bookmarkEnd w:id="70"/>
      <w:r>
        <w:rPr>
          <w:b/>
        </w:rPr>
        <w:t xml:space="preserve"> </w:t>
      </w:r>
    </w:p>
    <w:p w14:paraId="7D66C39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The frequency of visiting CRDB Bank respondents refers to how often individuals engage with the bank's services, typically categorized into daily, weekly, monthly, or less frequent visits. This measure is highly relevant to the study on the influence of disconfirmation of belief on customer satisfaction in financial institutions, as it helps to identify the extent of customer engagement and their reliance on in-person banking services. Customers who visit the bank more frequently may have more opportunities to form beliefs about service quality and are likely to experience more instances of disconfirmation when their expectations are not met. Understanding the frequency of visits can provide insights into how these experiences impact overall customer satisfaction, allowing financial institutions to assess the effectiveness of their services and address specific areas of concern for different customer segments based on their engagement levels. Table 4.4 shows the frequency of visiting banks among respondents. </w:t>
      </w:r>
    </w:p>
    <w:p w14:paraId="76D3E38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5C1B979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62A01A8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0CAEBDC0">
      <w:pPr>
        <w:pStyle w:val="8"/>
        <w:pageBreakBefore w:val="0"/>
        <w:kinsoku/>
        <w:wordWrap/>
        <w:overflowPunct/>
        <w:topLinePunct w:val="0"/>
        <w:bidi w:val="0"/>
        <w:snapToGrid/>
        <w:spacing w:beforeAutospacing="0" w:after="0" w:afterAutospacing="0" w:line="360" w:lineRule="auto"/>
        <w:textAlignment w:val="auto"/>
      </w:pPr>
      <w:bookmarkStart w:id="71" w:name="_Toc8202"/>
      <w:r>
        <w:t>Table 4.4: Frequency of visiting the bank</w:t>
      </w:r>
      <w:bookmarkEnd w:id="71"/>
      <w:r>
        <w:t xml:space="preserve"> </w:t>
      </w:r>
    </w:p>
    <w:tbl>
      <w:tblPr>
        <w:tblStyle w:val="26"/>
        <w:tblW w:w="0" w:type="auto"/>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autofit"/>
        <w:tblCellMar>
          <w:top w:w="0" w:type="dxa"/>
          <w:left w:w="108" w:type="dxa"/>
          <w:bottom w:w="0" w:type="dxa"/>
          <w:right w:w="108" w:type="dxa"/>
        </w:tblCellMar>
      </w:tblPr>
      <w:tblGrid>
        <w:gridCol w:w="2102"/>
        <w:gridCol w:w="2110"/>
        <w:gridCol w:w="2101"/>
        <w:gridCol w:w="2101"/>
      </w:tblGrid>
      <w:tr w14:paraId="03B40DDA">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1B9990E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p>
        </w:tc>
        <w:tc>
          <w:tcPr>
            <w:tcW w:w="2136" w:type="dxa"/>
            <w:shd w:val="clear" w:color="auto" w:fill="auto"/>
          </w:tcPr>
          <w:p w14:paraId="717B18A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Frequency</w:t>
            </w:r>
          </w:p>
        </w:tc>
        <w:tc>
          <w:tcPr>
            <w:tcW w:w="2136" w:type="dxa"/>
            <w:shd w:val="clear" w:color="auto" w:fill="auto"/>
          </w:tcPr>
          <w:p w14:paraId="076F909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Percent</w:t>
            </w:r>
          </w:p>
        </w:tc>
        <w:tc>
          <w:tcPr>
            <w:tcW w:w="2136" w:type="dxa"/>
            <w:shd w:val="clear" w:color="auto" w:fill="auto"/>
          </w:tcPr>
          <w:p w14:paraId="53E11A6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 xml:space="preserve">Cumm. Percent </w:t>
            </w:r>
          </w:p>
        </w:tc>
      </w:tr>
      <w:tr w14:paraId="285B41DC">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139DEDE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Daily </w:t>
            </w:r>
          </w:p>
        </w:tc>
        <w:tc>
          <w:tcPr>
            <w:tcW w:w="2136" w:type="dxa"/>
            <w:shd w:val="clear" w:color="auto" w:fill="auto"/>
          </w:tcPr>
          <w:p w14:paraId="528FA28D">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3</w:t>
            </w:r>
          </w:p>
        </w:tc>
        <w:tc>
          <w:tcPr>
            <w:tcW w:w="2136" w:type="dxa"/>
            <w:shd w:val="clear" w:color="auto" w:fill="auto"/>
          </w:tcPr>
          <w:p w14:paraId="4B881B4C">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w:t>
            </w:r>
          </w:p>
        </w:tc>
        <w:tc>
          <w:tcPr>
            <w:tcW w:w="2136" w:type="dxa"/>
            <w:shd w:val="clear" w:color="auto" w:fill="auto"/>
          </w:tcPr>
          <w:p w14:paraId="63B9CB6A">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w:t>
            </w:r>
          </w:p>
        </w:tc>
      </w:tr>
      <w:tr w14:paraId="01A3FA1A">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7CCC98F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Weekly </w:t>
            </w:r>
          </w:p>
        </w:tc>
        <w:tc>
          <w:tcPr>
            <w:tcW w:w="2136" w:type="dxa"/>
            <w:shd w:val="clear" w:color="auto" w:fill="auto"/>
          </w:tcPr>
          <w:p w14:paraId="20802F42">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17</w:t>
            </w:r>
          </w:p>
        </w:tc>
        <w:tc>
          <w:tcPr>
            <w:tcW w:w="2136" w:type="dxa"/>
            <w:shd w:val="clear" w:color="auto" w:fill="auto"/>
          </w:tcPr>
          <w:p w14:paraId="33FDDE6E">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56.7</w:t>
            </w:r>
          </w:p>
        </w:tc>
        <w:tc>
          <w:tcPr>
            <w:tcW w:w="2136" w:type="dxa"/>
            <w:shd w:val="clear" w:color="auto" w:fill="auto"/>
          </w:tcPr>
          <w:p w14:paraId="0A08E4BF">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66.7</w:t>
            </w:r>
          </w:p>
        </w:tc>
      </w:tr>
      <w:tr w14:paraId="2CB9ED39">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0425954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Monthly </w:t>
            </w:r>
          </w:p>
        </w:tc>
        <w:tc>
          <w:tcPr>
            <w:tcW w:w="2136" w:type="dxa"/>
            <w:shd w:val="clear" w:color="auto" w:fill="auto"/>
          </w:tcPr>
          <w:p w14:paraId="64363969">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w:t>
            </w:r>
          </w:p>
        </w:tc>
        <w:tc>
          <w:tcPr>
            <w:tcW w:w="2136" w:type="dxa"/>
            <w:shd w:val="clear" w:color="auto" w:fill="auto"/>
          </w:tcPr>
          <w:p w14:paraId="4767B8B3">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33.3</w:t>
            </w:r>
          </w:p>
        </w:tc>
        <w:tc>
          <w:tcPr>
            <w:tcW w:w="2136" w:type="dxa"/>
            <w:shd w:val="clear" w:color="auto" w:fill="auto"/>
          </w:tcPr>
          <w:p w14:paraId="57813CE3">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sz w:val="24"/>
                <w:szCs w:val="24"/>
              </w:rPr>
            </w:pPr>
            <w:r>
              <w:rPr>
                <w:rFonts w:ascii="Times New Roman" w:hAnsi="Times New Roman" w:cs="Times New Roman"/>
                <w:sz w:val="24"/>
                <w:szCs w:val="24"/>
              </w:rPr>
              <w:t>100.0</w:t>
            </w:r>
          </w:p>
        </w:tc>
      </w:tr>
      <w:tr w14:paraId="69934B30">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2136" w:type="dxa"/>
            <w:shd w:val="clear" w:color="auto" w:fill="auto"/>
          </w:tcPr>
          <w:p w14:paraId="66ACB34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bCs/>
                <w:sz w:val="24"/>
                <w:szCs w:val="24"/>
              </w:rPr>
            </w:pPr>
            <w:r>
              <w:rPr>
                <w:rFonts w:ascii="Times New Roman" w:hAnsi="Times New Roman" w:cs="Times New Roman"/>
                <w:b/>
                <w:bCs/>
                <w:sz w:val="24"/>
                <w:szCs w:val="24"/>
              </w:rPr>
              <w:t xml:space="preserve">Total </w:t>
            </w:r>
          </w:p>
        </w:tc>
        <w:tc>
          <w:tcPr>
            <w:tcW w:w="2136" w:type="dxa"/>
            <w:shd w:val="clear" w:color="auto" w:fill="auto"/>
          </w:tcPr>
          <w:p w14:paraId="65EC0A14">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b/>
                <w:sz w:val="24"/>
                <w:szCs w:val="24"/>
              </w:rPr>
            </w:pPr>
            <w:r>
              <w:rPr>
                <w:rFonts w:ascii="Times New Roman" w:hAnsi="Times New Roman" w:cs="Times New Roman"/>
                <w:b/>
                <w:sz w:val="24"/>
                <w:szCs w:val="24"/>
              </w:rPr>
              <w:t>30</w:t>
            </w:r>
          </w:p>
        </w:tc>
        <w:tc>
          <w:tcPr>
            <w:tcW w:w="2136" w:type="dxa"/>
            <w:shd w:val="clear" w:color="auto" w:fill="auto"/>
          </w:tcPr>
          <w:p w14:paraId="7D5437A3">
            <w:pPr>
              <w:pageBreakBefore w:val="0"/>
              <w:kinsoku/>
              <w:wordWrap/>
              <w:overflowPunct/>
              <w:topLinePunct w:val="0"/>
              <w:bidi w:val="0"/>
              <w:snapToGrid/>
              <w:spacing w:beforeAutospacing="0" w:after="0" w:afterAutospacing="0" w:line="360" w:lineRule="auto"/>
              <w:jc w:val="right"/>
              <w:textAlignment w:val="auto"/>
              <w:rPr>
                <w:rFonts w:ascii="Times New Roman" w:hAnsi="Times New Roman" w:cs="Times New Roman"/>
                <w:b/>
                <w:sz w:val="24"/>
                <w:szCs w:val="24"/>
              </w:rPr>
            </w:pPr>
            <w:r>
              <w:rPr>
                <w:rFonts w:ascii="Times New Roman" w:hAnsi="Times New Roman" w:cs="Times New Roman"/>
                <w:b/>
                <w:sz w:val="24"/>
                <w:szCs w:val="24"/>
              </w:rPr>
              <w:t>100</w:t>
            </w:r>
          </w:p>
        </w:tc>
        <w:tc>
          <w:tcPr>
            <w:tcW w:w="2136" w:type="dxa"/>
            <w:shd w:val="clear" w:color="auto" w:fill="auto"/>
          </w:tcPr>
          <w:p w14:paraId="4A04E8D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tc>
      </w:tr>
    </w:tbl>
    <w:p w14:paraId="6B84B42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r>
        <w:rPr>
          <w:rFonts w:ascii="Times New Roman" w:hAnsi="Times New Roman" w:cs="Times New Roman"/>
          <w:sz w:val="24"/>
          <w:szCs w:val="24"/>
        </w:rPr>
        <w:t>Source: Field data, 2024</w:t>
      </w:r>
    </w:p>
    <w:p w14:paraId="105C0ED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rPr>
      </w:pPr>
      <w:r>
        <w:rPr>
          <w:rFonts w:ascii="Times New Roman" w:hAnsi="Times New Roman" w:cs="Times New Roman"/>
        </w:rPr>
        <w:t>The findings in Table 4.4 illustrate the frequency of bank visits among the respondents, highlighting distinct patterns in banking behavior. A total of 30 respondents participated in the survey, with the majority, 56.7%, indicating that they visit the bank weekly. This preference for weekly visits suggests that respondents may engage in regular financial activities or transactions that require in-person banking services. Such a high percentage of weekly bank visitors could reflect the importance of banking in their financial management, whether for routine deposits, withdrawals, or consultations with bank representatives.</w:t>
      </w:r>
    </w:p>
    <w:p w14:paraId="310E921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rPr>
      </w:pPr>
    </w:p>
    <w:p w14:paraId="63AA498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rPr>
      </w:pPr>
      <w:r>
        <w:rPr>
          <w:rFonts w:ascii="Times New Roman" w:hAnsi="Times New Roman" w:cs="Times New Roman"/>
        </w:rPr>
        <w:t>In contrast, a smaller segment of the respondents visits the bank daily, accounting for only 10% of the total. This low percentage could imply that most individuals do not rely on daily banking interactions, possibly due to the convenience of digital banking alternatives. Meanwhile, 33.3% of respondents reported visiting the bank monthly, indicating a varied approach to banking frequency. Cumulatively, the data shows that a significant majority (100%) of respondents engage with the bank either weekly or monthly, which could suggest a balanced reliance on traditional banking services while possibly incorporating digital banking solutions for more frequent transactions. Understanding these patterns can help financial institutions tailor their services to better meet the needs of their customers.</w:t>
      </w:r>
    </w:p>
    <w:p w14:paraId="76AE3FF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rPr>
      </w:pPr>
    </w:p>
    <w:p w14:paraId="69494F5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frequency of bank visits among respondents offers valuable insights into the influence of service quality on customer satisfaction at CRDB Bank’s Temeke branch. With 56.7% visiting the bank weekly, it’s clear that many customers rely on regular in-person interactions, suggesting that the quality of in-branch services is crucial in shaping their satisfaction. The smaller group of daily visitors (10%) implies that only a few need daily banking services, potentially due to the availability of digital alternatives that fulfill frequent transaction needs. Meanwhile, the 33.3% who visit monthly reflect a more occasional reliance on in-person services. This varied pattern highlights the importance of consistently high service quality, particularly for weekly and monthly visitors who form the majority, and suggests that customer satisfaction at CRDB is influenced by the bank’s ability to meet diverse customer needs across both traditional and digital service channels</w:t>
      </w:r>
    </w:p>
    <w:p w14:paraId="582C780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szCs w:val="24"/>
        </w:rPr>
      </w:pPr>
    </w:p>
    <w:p w14:paraId="463ED951">
      <w:pPr>
        <w:pStyle w:val="2"/>
        <w:pageBreakBefore w:val="0"/>
        <w:kinsoku/>
        <w:wordWrap/>
        <w:overflowPunct/>
        <w:topLinePunct w:val="0"/>
        <w:bidi w:val="0"/>
        <w:snapToGrid/>
        <w:spacing w:before="0" w:beforeAutospacing="0" w:after="0" w:afterAutospacing="0" w:line="360" w:lineRule="auto"/>
        <w:textAlignment w:val="auto"/>
        <w:rPr>
          <w:b/>
        </w:rPr>
      </w:pPr>
      <w:bookmarkStart w:id="72" w:name="_Toc11986"/>
      <w:r>
        <w:rPr>
          <w:b/>
        </w:rPr>
        <w:t>4.3 The influence of disconfirmation of belief on customer satisfaction in financial institution</w:t>
      </w:r>
      <w:bookmarkEnd w:id="72"/>
    </w:p>
    <w:p w14:paraId="1B14101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The study was interested to assess the</w:t>
      </w:r>
      <w:r>
        <w:rPr>
          <w:rFonts w:ascii="Times New Roman" w:hAnsi="Times New Roman" w:cs="Times New Roman"/>
          <w:b/>
          <w:sz w:val="24"/>
          <w:szCs w:val="24"/>
        </w:rPr>
        <w:t xml:space="preserve"> </w:t>
      </w:r>
      <w:r>
        <w:rPr>
          <w:rFonts w:ascii="Times New Roman" w:hAnsi="Times New Roman" w:cs="Times New Roman"/>
          <w:sz w:val="24"/>
          <w:szCs w:val="24"/>
        </w:rPr>
        <w:t xml:space="preserve">influence of disconfirmation of belief on customer satisfaction in financial institution. Specifically the study was interested to examine the influence of disconfirmation of belief on customer satisfaction in financial institution, to examine the influence of expectation on customer satisfaction in financial institution and examine the influence of perceived performance on customer satisfaction in financial institution. Data was collected, analyzed and findings are presented and discussed in this section based on research specific objectives. </w:t>
      </w:r>
    </w:p>
    <w:p w14:paraId="7344EE4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45D1A3B3">
      <w:pPr>
        <w:pStyle w:val="2"/>
        <w:pageBreakBefore w:val="0"/>
        <w:kinsoku/>
        <w:wordWrap/>
        <w:overflowPunct/>
        <w:topLinePunct w:val="0"/>
        <w:bidi w:val="0"/>
        <w:snapToGrid/>
        <w:spacing w:before="0" w:beforeAutospacing="0" w:after="0" w:afterAutospacing="0" w:line="360" w:lineRule="auto"/>
        <w:textAlignment w:val="auto"/>
        <w:rPr>
          <w:b/>
        </w:rPr>
      </w:pPr>
      <w:bookmarkStart w:id="73" w:name="_Toc3051"/>
      <w:r>
        <w:rPr>
          <w:b/>
        </w:rPr>
        <w:t>4.3.1 The influence of disconfirmation of belief on customer satisfaction in financial institution</w:t>
      </w:r>
      <w:bookmarkEnd w:id="73"/>
    </w:p>
    <w:p w14:paraId="3FE1FA7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This section presents findings related to the influence of disconfirmation of belief on customer satisfaction at CRDB Bank’s Temeke branch. Disconfirmation of belief, which refers to the gap between customer expectations and their actual experiences, is a critical factor in understanding satisfaction levels in service-oriented industries like banking. In the context of CRDB, examining how customer satisfaction is affected by the extent to which service experiences meet, exceed, or fall short of expectations can provide insights into how the bank's service quality impacts overall customer contentment. Data was collected, analyzed, and findings are presented and discussed as below: </w:t>
      </w:r>
    </w:p>
    <w:p w14:paraId="690B4D7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359DFA0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1386D87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75DF030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6881472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3711A03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55C75B7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23750DB5">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65F72886">
      <w:pPr>
        <w:pStyle w:val="8"/>
        <w:pageBreakBefore w:val="0"/>
        <w:kinsoku/>
        <w:wordWrap/>
        <w:overflowPunct/>
        <w:topLinePunct w:val="0"/>
        <w:bidi w:val="0"/>
        <w:snapToGrid/>
        <w:spacing w:beforeAutospacing="0" w:after="0" w:afterAutospacing="0" w:line="360" w:lineRule="auto"/>
        <w:textAlignment w:val="auto"/>
      </w:pPr>
      <w:bookmarkStart w:id="74" w:name="_Toc2838"/>
      <w:r>
        <w:t>Table 4.5:  The influence of disconfirmation of belief on customer satisfaction in financial institution.</w:t>
      </w:r>
      <w:bookmarkEnd w:id="74"/>
    </w:p>
    <w:tbl>
      <w:tblPr>
        <w:tblStyle w:val="27"/>
        <w:tblW w:w="8725" w:type="dxa"/>
        <w:tblInd w:w="0" w:type="dxa"/>
        <w:tblBorders>
          <w:top w:val="single" w:color="8EAADB" w:themeColor="accent1" w:themeTint="99" w:sz="4" w:space="0"/>
          <w:left w:val="none" w:color="auto" w:sz="0" w:space="0"/>
          <w:bottom w:val="single" w:color="8EAADB" w:themeColor="accent1" w:themeTint="99" w:sz="4" w:space="0"/>
          <w:right w:val="none" w:color="auto" w:sz="0" w:space="0"/>
          <w:insideH w:val="single" w:color="8EAADB" w:themeColor="accent1" w:themeTint="99" w:sz="4" w:space="0"/>
          <w:insideV w:val="none" w:color="auto" w:sz="0" w:space="0"/>
        </w:tblBorders>
        <w:tblLayout w:type="fixed"/>
        <w:tblCellMar>
          <w:top w:w="0" w:type="dxa"/>
          <w:left w:w="108" w:type="dxa"/>
          <w:bottom w:w="0" w:type="dxa"/>
          <w:right w:w="108" w:type="dxa"/>
        </w:tblCellMar>
      </w:tblPr>
      <w:tblGrid>
        <w:gridCol w:w="4728"/>
        <w:gridCol w:w="847"/>
        <w:gridCol w:w="540"/>
        <w:gridCol w:w="521"/>
        <w:gridCol w:w="636"/>
        <w:gridCol w:w="733"/>
        <w:gridCol w:w="720"/>
      </w:tblGrid>
      <w:tr w14:paraId="40702DDB">
        <w:tblPrEx>
          <w:tblBorders>
            <w:top w:val="single" w:color="8EAADB" w:themeColor="accent1" w:themeTint="99" w:sz="4" w:space="0"/>
            <w:left w:val="none" w:color="auto" w:sz="0" w:space="0"/>
            <w:bottom w:val="single" w:color="8EAADB" w:themeColor="accent1" w:themeTint="99" w:sz="4" w:space="0"/>
            <w:right w:val="none" w:color="auto" w:sz="0" w:space="0"/>
            <w:insideH w:val="single" w:color="8EAADB" w:themeColor="accent1" w:themeTint="99" w:sz="4" w:space="0"/>
            <w:insideV w:val="none" w:color="auto" w:sz="0" w:space="0"/>
          </w:tblBorders>
          <w:tblCellMar>
            <w:top w:w="0" w:type="dxa"/>
            <w:left w:w="108" w:type="dxa"/>
            <w:bottom w:w="0" w:type="dxa"/>
            <w:right w:w="108" w:type="dxa"/>
          </w:tblCellMar>
        </w:tblPrEx>
        <w:trPr>
          <w:trHeight w:val="1134" w:hRule="atLeast"/>
        </w:trPr>
        <w:tc>
          <w:tcPr>
            <w:tcW w:w="4728" w:type="dxa"/>
            <w:shd w:val="clear" w:color="auto" w:fill="auto"/>
          </w:tcPr>
          <w:p w14:paraId="2E13592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Statement </w:t>
            </w:r>
          </w:p>
        </w:tc>
        <w:tc>
          <w:tcPr>
            <w:tcW w:w="847" w:type="dxa"/>
            <w:shd w:val="clear" w:color="auto" w:fill="auto"/>
            <w:textDirection w:val="btLr"/>
          </w:tcPr>
          <w:p w14:paraId="6C31DE62">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Agree</w:t>
            </w:r>
          </w:p>
        </w:tc>
        <w:tc>
          <w:tcPr>
            <w:tcW w:w="540" w:type="dxa"/>
            <w:shd w:val="clear" w:color="auto" w:fill="auto"/>
            <w:textDirection w:val="btLr"/>
          </w:tcPr>
          <w:p w14:paraId="49096972">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Agree</w:t>
            </w:r>
          </w:p>
        </w:tc>
        <w:tc>
          <w:tcPr>
            <w:tcW w:w="521" w:type="dxa"/>
            <w:shd w:val="clear" w:color="auto" w:fill="auto"/>
            <w:textDirection w:val="btLr"/>
          </w:tcPr>
          <w:p w14:paraId="0D072600">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Neutral</w:t>
            </w:r>
          </w:p>
        </w:tc>
        <w:tc>
          <w:tcPr>
            <w:tcW w:w="636" w:type="dxa"/>
            <w:shd w:val="clear" w:color="auto" w:fill="auto"/>
            <w:textDirection w:val="btLr"/>
          </w:tcPr>
          <w:p w14:paraId="5FD1159C">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Disagree</w:t>
            </w:r>
          </w:p>
        </w:tc>
        <w:tc>
          <w:tcPr>
            <w:tcW w:w="733" w:type="dxa"/>
            <w:shd w:val="clear" w:color="auto" w:fill="auto"/>
            <w:textDirection w:val="btLr"/>
          </w:tcPr>
          <w:p w14:paraId="31214679">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Disagree</w:t>
            </w:r>
          </w:p>
        </w:tc>
        <w:tc>
          <w:tcPr>
            <w:tcW w:w="720" w:type="dxa"/>
            <w:shd w:val="clear" w:color="auto" w:fill="auto"/>
            <w:textDirection w:val="btLr"/>
          </w:tcPr>
          <w:p w14:paraId="488A6C64">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Mean </w:t>
            </w:r>
          </w:p>
        </w:tc>
      </w:tr>
      <w:tr w14:paraId="316FAE3D">
        <w:tblPrEx>
          <w:tblBorders>
            <w:top w:val="single" w:color="8EAADB" w:themeColor="accent1" w:themeTint="99" w:sz="4" w:space="0"/>
            <w:left w:val="none" w:color="auto" w:sz="0" w:space="0"/>
            <w:bottom w:val="single" w:color="8EAADB" w:themeColor="accent1" w:themeTint="99" w:sz="4" w:space="0"/>
            <w:right w:val="none" w:color="auto" w:sz="0" w:space="0"/>
            <w:insideH w:val="single" w:color="8EAADB" w:themeColor="accen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44EC629B">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The level of the service is satisfactory</w:t>
            </w:r>
          </w:p>
        </w:tc>
        <w:tc>
          <w:tcPr>
            <w:tcW w:w="847" w:type="dxa"/>
            <w:shd w:val="clear" w:color="auto" w:fill="auto"/>
          </w:tcPr>
          <w:p w14:paraId="796D51C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540" w:type="dxa"/>
            <w:shd w:val="clear" w:color="auto" w:fill="auto"/>
          </w:tcPr>
          <w:p w14:paraId="4430301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521" w:type="dxa"/>
            <w:shd w:val="clear" w:color="auto" w:fill="auto"/>
          </w:tcPr>
          <w:p w14:paraId="757C634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9</w:t>
            </w:r>
          </w:p>
        </w:tc>
        <w:tc>
          <w:tcPr>
            <w:tcW w:w="636" w:type="dxa"/>
            <w:shd w:val="clear" w:color="auto" w:fill="auto"/>
          </w:tcPr>
          <w:p w14:paraId="1E71C31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11</w:t>
            </w:r>
          </w:p>
        </w:tc>
        <w:tc>
          <w:tcPr>
            <w:tcW w:w="733" w:type="dxa"/>
            <w:shd w:val="clear" w:color="auto" w:fill="auto"/>
          </w:tcPr>
          <w:p w14:paraId="4A6BDC4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tc>
        <w:tc>
          <w:tcPr>
            <w:tcW w:w="720" w:type="dxa"/>
            <w:shd w:val="clear" w:color="auto" w:fill="auto"/>
          </w:tcPr>
          <w:p w14:paraId="6DF8E10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2.80</w:t>
            </w:r>
          </w:p>
        </w:tc>
      </w:tr>
      <w:tr w14:paraId="0494BE4C">
        <w:tblPrEx>
          <w:tblBorders>
            <w:top w:val="single" w:color="8EAADB" w:themeColor="accent1" w:themeTint="99" w:sz="4" w:space="0"/>
            <w:left w:val="none" w:color="auto" w:sz="0" w:space="0"/>
            <w:bottom w:val="single" w:color="8EAADB" w:themeColor="accent1" w:themeTint="99" w:sz="4" w:space="0"/>
            <w:right w:val="none" w:color="auto" w:sz="0" w:space="0"/>
            <w:insideH w:val="single" w:color="8EAADB" w:themeColor="accen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3554E40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val="0"/>
                <w:bCs/>
                <w:sz w:val="24"/>
                <w:szCs w:val="24"/>
              </w:rPr>
            </w:pPr>
            <w:r>
              <w:rPr>
                <w:rFonts w:ascii="Times New Roman" w:hAnsi="Times New Roman" w:cs="Times New Roman"/>
                <w:b w:val="0"/>
                <w:bCs/>
                <w:sz w:val="24"/>
                <w:szCs w:val="24"/>
              </w:rPr>
              <w:t>The company has successful meet your needs</w:t>
            </w:r>
          </w:p>
        </w:tc>
        <w:tc>
          <w:tcPr>
            <w:tcW w:w="847" w:type="dxa"/>
            <w:shd w:val="clear" w:color="auto" w:fill="auto"/>
          </w:tcPr>
          <w:p w14:paraId="1C91A5A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2</w:t>
            </w:r>
          </w:p>
        </w:tc>
        <w:tc>
          <w:tcPr>
            <w:tcW w:w="540" w:type="dxa"/>
            <w:shd w:val="clear" w:color="auto" w:fill="auto"/>
          </w:tcPr>
          <w:p w14:paraId="39B01DA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521" w:type="dxa"/>
            <w:shd w:val="clear" w:color="auto" w:fill="auto"/>
          </w:tcPr>
          <w:p w14:paraId="2DD1470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w:t>
            </w:r>
          </w:p>
        </w:tc>
        <w:tc>
          <w:tcPr>
            <w:tcW w:w="636" w:type="dxa"/>
            <w:shd w:val="clear" w:color="auto" w:fill="auto"/>
          </w:tcPr>
          <w:p w14:paraId="0A65C25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733" w:type="dxa"/>
            <w:shd w:val="clear" w:color="auto" w:fill="auto"/>
          </w:tcPr>
          <w:p w14:paraId="02F78F3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6</w:t>
            </w:r>
          </w:p>
        </w:tc>
        <w:tc>
          <w:tcPr>
            <w:tcW w:w="720" w:type="dxa"/>
            <w:shd w:val="clear" w:color="auto" w:fill="auto"/>
          </w:tcPr>
          <w:p w14:paraId="63AF101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2.60</w:t>
            </w:r>
          </w:p>
        </w:tc>
      </w:tr>
      <w:tr w14:paraId="010CF3B9">
        <w:tblPrEx>
          <w:tblBorders>
            <w:top w:val="single" w:color="8EAADB" w:themeColor="accent1" w:themeTint="99" w:sz="4" w:space="0"/>
            <w:left w:val="none" w:color="auto" w:sz="0" w:space="0"/>
            <w:bottom w:val="single" w:color="8EAADB" w:themeColor="accent1" w:themeTint="99" w:sz="4" w:space="0"/>
            <w:right w:val="none" w:color="auto" w:sz="0" w:space="0"/>
            <w:insideH w:val="single" w:color="8EAADB" w:themeColor="accen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6EE5F67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It will be easy to recommend a service that meets your expectation.</w:t>
            </w:r>
          </w:p>
        </w:tc>
        <w:tc>
          <w:tcPr>
            <w:tcW w:w="847" w:type="dxa"/>
            <w:shd w:val="clear" w:color="auto" w:fill="auto"/>
          </w:tcPr>
          <w:p w14:paraId="7A6D6A6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540" w:type="dxa"/>
            <w:shd w:val="clear" w:color="auto" w:fill="auto"/>
          </w:tcPr>
          <w:p w14:paraId="28A04D8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521" w:type="dxa"/>
            <w:shd w:val="clear" w:color="auto" w:fill="auto"/>
          </w:tcPr>
          <w:p w14:paraId="388FCD0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636" w:type="dxa"/>
            <w:shd w:val="clear" w:color="auto" w:fill="auto"/>
          </w:tcPr>
          <w:p w14:paraId="1135A7F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14</w:t>
            </w:r>
          </w:p>
        </w:tc>
        <w:tc>
          <w:tcPr>
            <w:tcW w:w="733" w:type="dxa"/>
            <w:shd w:val="clear" w:color="auto" w:fill="auto"/>
          </w:tcPr>
          <w:p w14:paraId="4C72870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720" w:type="dxa"/>
            <w:shd w:val="clear" w:color="auto" w:fill="auto"/>
          </w:tcPr>
          <w:p w14:paraId="121D044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2.83</w:t>
            </w:r>
          </w:p>
        </w:tc>
      </w:tr>
    </w:tbl>
    <w:p w14:paraId="046005D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Source: Field data, 2024</w:t>
      </w:r>
    </w:p>
    <w:p w14:paraId="78110DB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B3BC26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findings from Table 4.5 reveal varied customer perceptions regarding the influence of disconfirmation of belief on satisfaction at CRDB Bank’s Temeke branch, based on three key statements. The statement "The level of the service is satisfactory" received a mean score of 2.80, indicating a generally neutral to slightly negative sentiment. With only 8 out of 30 respondents (combining "Strongly Agree" and "Agree") expressing positive views on service satisfaction, it suggests that the majority are either neutral or dissatisfied with the current level of service. This result implies a possible gap between the expected and actual service levels, pointing toward negative disconfirmation of belief, where services may not consistently meet customer expectations.</w:t>
      </w:r>
    </w:p>
    <w:p w14:paraId="10C8948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492F2CB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Similarly, the mean score of 2.60 for the statement "The company has successfully met your needs" reflects a moderate level of satisfaction. With a majority of respondents choosing "Neutral" or "Disagree," it suggests that CRDB Bank may not be fully meeting the needs of its customers. Additionally, the statement "It will be easy to recommend a service that meets your expectation" garnered a mean of 2.83, showing a tendency towards disagreement or neutrality regarding the likelihood of recommending the bank’s services. Only 10 respondents selected "Strongly Agree" or "Agree," indicating that many customers may not feel confident endorsing the bank’s service quality. Together, these findings underscore the importance of improving service delivery to bridge the expectation-performance gap, as the current disconfirmation appears to be affecting customer satisfaction negatively. </w:t>
      </w:r>
    </w:p>
    <w:p w14:paraId="05957396">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“Our findings highlight that understanding and managing customer expectations is crucial. Many of our customers have specific expectations based on their previous experiences and the promises made by our marketing. When there is a gap between what they expect and what they perceive as delivered, it can lead to dissatisfaction. We need to continuously engage with our customers to gather feedback and adjust our services accordingly”</w:t>
      </w:r>
    </w:p>
    <w:p w14:paraId="49DCF96B">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“The study clearly indicates that the quality of service directly affects customer satisfaction. Regular training for our staff on customer service standards is essential to ensure they can meet the diverse needs of our customers effectively. This includes prompt service, professional behavior, and responsiveness to inquiries or complaints”</w:t>
      </w:r>
    </w:p>
    <w:p w14:paraId="769EF9E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p>
    <w:p w14:paraId="053463A3">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“Disconfirmation beliefs can be detrimental to customer loyalty. Our team is focused on identifying and addressing instances where customers feel let down. Implementing a robust complaint resolution system is key to reassuring our customers that we take their feedback seriously and are committed to improving their banking experience”</w:t>
      </w:r>
    </w:p>
    <w:p w14:paraId="1DB0660B">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"The research points out significant differences in satisfaction levels based on demographics, particularly age and gender. It is vital for us to tailor our services and communication strategies to cater to these differences. For instance, older customers may value personal interactions more than younger customers who prefer digital solutions”.</w:t>
      </w:r>
    </w:p>
    <w:p w14:paraId="56C0CDF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p>
    <w:p w14:paraId="5143E842">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“This research underscores the need for CRDB Bank to be agile and adapt to changing customer needs. Regular assessments of our service performance against customer expectations will help us identify areas for improvement. We aim to implement more innovative solutions and enhance our service delivery channels to create a more satisfying customer experience”.</w:t>
      </w:r>
    </w:p>
    <w:p w14:paraId="13AF2B27">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sz w:val="24"/>
          <w:szCs w:val="24"/>
        </w:rPr>
      </w:pPr>
      <w:r>
        <w:rPr>
          <w:rFonts w:ascii="Times New Roman" w:hAnsi="Times New Roman" w:cs="Times New Roman"/>
          <w:sz w:val="24"/>
          <w:szCs w:val="24"/>
        </w:rPr>
        <w:t>For customers</w:t>
      </w:r>
    </w:p>
    <w:p w14:paraId="63A618DA">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r>
        <w:rPr>
          <w:rFonts w:ascii="Times New Roman" w:hAnsi="Times New Roman" w:cs="Times New Roman"/>
          <w:i/>
          <w:color w:val="000000" w:themeColor="text1"/>
          <w:sz w:val="24"/>
          <w14:textFill>
            <w14:solidFill>
              <w14:schemeClr w14:val="tx1"/>
            </w14:solidFill>
          </w14:textFill>
        </w:rPr>
        <w:t>“I often come to the bank with certain expectations based on their advertising and what I’ve heard from friends. However, there are times when the service doesn't match what I expected. For instance, if I'm told I can easily open an account or get a loan within a day, and it takes longer, I feel disappointed, which affects my overall satisfaction”,</w:t>
      </w:r>
    </w:p>
    <w:p w14:paraId="639A386B">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p>
    <w:p w14:paraId="62CFF60D">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r>
        <w:rPr>
          <w:rFonts w:ascii="Times New Roman" w:hAnsi="Times New Roman" w:cs="Times New Roman"/>
          <w:i/>
          <w:color w:val="000000" w:themeColor="text1"/>
          <w:sz w:val="24"/>
          <w14:textFill>
            <w14:solidFill>
              <w14:schemeClr w14:val="tx1"/>
            </w14:solidFill>
          </w14:textFill>
        </w:rPr>
        <w:t>“I've experienced varying levels of service at the bank. Sometimes, the staff are really helpful and friendly, while at other times, I feel like I'm just another number. When the service is great, I leave feeling satisfied, but when it's poor, I think twice about recommending the bank to others”.</w:t>
      </w:r>
    </w:p>
    <w:p w14:paraId="227C3E77">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p>
    <w:p w14:paraId="4723F2C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r>
        <w:rPr>
          <w:rFonts w:ascii="Times New Roman" w:hAnsi="Times New Roman" w:cs="Times New Roman"/>
          <w:i/>
          <w:color w:val="000000" w:themeColor="text1"/>
          <w:sz w:val="24"/>
          <w14:textFill>
            <w14:solidFill>
              <w14:schemeClr w14:val="tx1"/>
            </w14:solidFill>
          </w14:textFill>
        </w:rPr>
        <w:t>“I believe clear communication is key to managing expectations. If the bank updates me about delays or changes in services, it helps me adjust my expectations. However, when I don’t receive timely information, I tend to feel frustrated and think less of the bank’s reliability”.</w:t>
      </w:r>
    </w:p>
    <w:p w14:paraId="1FED3244">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p>
    <w:p w14:paraId="4FC59AED">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r>
        <w:rPr>
          <w:rFonts w:ascii="Times New Roman" w:hAnsi="Times New Roman" w:cs="Times New Roman"/>
          <w:i/>
          <w:color w:val="000000" w:themeColor="text1"/>
          <w:sz w:val="24"/>
          <w14:textFill>
            <w14:solidFill>
              <w14:schemeClr w14:val="tx1"/>
            </w14:solidFill>
          </w14:textFill>
        </w:rPr>
        <w:t>“As a long-time customer, I appreciate when the staff recognize me and understand my needs. It gives me confidence in their services. When I feel like they don't know or care about my situation, it negatively impacts my perception of the bank, even if the overall service is fine”</w:t>
      </w:r>
    </w:p>
    <w:p w14:paraId="3C41FEB9">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r>
        <w:rPr>
          <w:rFonts w:ascii="Times New Roman" w:hAnsi="Times New Roman" w:cs="Times New Roman"/>
          <w:i/>
          <w:color w:val="000000" w:themeColor="text1"/>
          <w:sz w:val="24"/>
          <w14:textFill>
            <w14:solidFill>
              <w14:schemeClr w14:val="tx1"/>
            </w14:solidFill>
          </w14:textFill>
        </w:rPr>
        <w:t>“I think it's crucial for the bank to listen to customer feedback. There have been instances where I felt my concerns were not addressed properly. If there were better mechanisms for customers to share their experiences and see changes based on that feedback, I would feel more valued as a customer, and my satisfaction would likely improve”.</w:t>
      </w:r>
    </w:p>
    <w:p w14:paraId="1CD383D3">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color w:val="000000" w:themeColor="text1"/>
          <w:sz w:val="24"/>
          <w14:textFill>
            <w14:solidFill>
              <w14:schemeClr w14:val="tx1"/>
            </w14:solidFill>
          </w14:textFill>
        </w:rPr>
      </w:pPr>
    </w:p>
    <w:p w14:paraId="6C3AC03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The findings from the interviews and questionnaires conducted at CRDB Bank’s Temeke branch reveal significant concerns regarding customer satisfaction linked to disconfirmation of belief. The mean scores for service satisfaction (2.80), meeting customer needs (2.60), and the likelihood of recommending the bank (2.83) indicate a prevalent sense of neutrality or dissatisfaction among respondents, highlighting a critical gap between customer expectations and actual service delivery. This disconnect is further underscored by customer testimonials reflecting disappointment when services promised do not align with reality, leading to a feeling of being undervalued. Customers noted the variability in service quality, with some experiences being positive while others left them feeling like just another number. </w:t>
      </w:r>
    </w:p>
    <w:p w14:paraId="3036731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6F2B4BE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color w:val="000000" w:themeColor="text1"/>
          <w:sz w:val="24"/>
          <w14:textFill>
            <w14:solidFill>
              <w14:schemeClr w14:val="tx1"/>
            </w14:solidFill>
          </w14:textFill>
        </w:rPr>
        <w:t xml:space="preserve">The importance of clear communication was emphasized, with customers expressing that timely updates regarding service changes could significantly enhance their perception of the bank's reliability. Furthermore, the feedback highlights a need for CRDB Bank to adapt its services to different demographic needs, particularly between age groups and gender. To address these issues, stakeholders recognize the necessity for continuous staff training, robust feedback mechanisms, and a responsive complaint resolution system to foster customer loyalty and improve overall satisfaction. The emphasis on engaging with customers to align services with their expectations and delivering consistent, high-quality experiences is essential for CRDB Bank to enhance its reputation and customer satisfaction in the competitive banking sector. This findings align with the study conducted by  </w:t>
      </w:r>
      <w:sdt>
        <w:sdtPr>
          <w:rPr>
            <w:rFonts w:ascii="Times New Roman" w:hAnsi="Times New Roman" w:cs="Times New Roman"/>
            <w:sz w:val="24"/>
            <w:szCs w:val="24"/>
          </w:rPr>
          <w:id w:val="644245310"/>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CITATION Aro14 \l 1033 </w:instrText>
          </w:r>
          <w:r>
            <w:rPr>
              <w:rFonts w:ascii="Times New Roman" w:hAnsi="Times New Roman" w:cs="Times New Roman"/>
              <w:sz w:val="24"/>
              <w:szCs w:val="24"/>
            </w:rPr>
            <w:fldChar w:fldCharType="separate"/>
          </w:r>
          <w:r>
            <w:rPr>
              <w:rFonts w:ascii="Times New Roman" w:hAnsi="Times New Roman" w:cs="Times New Roman"/>
              <w:sz w:val="24"/>
              <w:szCs w:val="24"/>
            </w:rPr>
            <w:t>(Arokiasamy &amp;Tat, 2014)</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Others believe that service quality has a greater impact on consumer satisfaction than product and price. Improved service quality by banks helps in developing attitudinal loyalty which is a prerequisite for customer retention. Thus, service quality has a strong influence on customer satisfaction </w:t>
      </w:r>
      <w:sdt>
        <w:sdtPr>
          <w:rPr>
            <w:rFonts w:ascii="Times New Roman" w:hAnsi="Times New Roman" w:cs="Times New Roman"/>
            <w:sz w:val="24"/>
            <w:szCs w:val="24"/>
          </w:rPr>
          <w:id w:val="410205576"/>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Bha13 \l 1033 </w:instrText>
          </w:r>
          <w:r>
            <w:rPr>
              <w:rFonts w:ascii="Times New Roman" w:hAnsi="Times New Roman" w:cs="Times New Roman"/>
              <w:sz w:val="24"/>
              <w:szCs w:val="24"/>
            </w:rPr>
            <w:fldChar w:fldCharType="separate"/>
          </w:r>
          <w:r>
            <w:rPr>
              <w:rFonts w:ascii="Times New Roman" w:hAnsi="Times New Roman" w:cs="Times New Roman"/>
              <w:sz w:val="24"/>
              <w:szCs w:val="24"/>
            </w:rPr>
            <w:t>(Bharwana, 2013)</w:t>
          </w:r>
          <w:r>
            <w:rPr>
              <w:rFonts w:ascii="Times New Roman" w:hAnsi="Times New Roman" w:cs="Times New Roman"/>
              <w:sz w:val="24"/>
              <w:szCs w:val="24"/>
            </w:rPr>
            <w:fldChar w:fldCharType="end"/>
          </w:r>
        </w:sdtContent>
      </w:sdt>
      <w:r>
        <w:rPr>
          <w:rFonts w:ascii="Times New Roman" w:hAnsi="Times New Roman" w:cs="Times New Roman"/>
          <w:sz w:val="24"/>
          <w:szCs w:val="24"/>
        </w:rPr>
        <w:t>.</w:t>
      </w:r>
    </w:p>
    <w:p w14:paraId="2ACBEEB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8"/>
          <w:szCs w:val="24"/>
          <w14:textFill>
            <w14:solidFill>
              <w14:schemeClr w14:val="tx1"/>
            </w14:solidFill>
          </w14:textFill>
        </w:rPr>
      </w:pPr>
    </w:p>
    <w:p w14:paraId="59DDC253">
      <w:pPr>
        <w:pStyle w:val="2"/>
        <w:pageBreakBefore w:val="0"/>
        <w:kinsoku/>
        <w:wordWrap/>
        <w:overflowPunct/>
        <w:topLinePunct w:val="0"/>
        <w:bidi w:val="0"/>
        <w:snapToGrid/>
        <w:spacing w:before="0" w:beforeAutospacing="0" w:after="0" w:afterAutospacing="0" w:line="360" w:lineRule="auto"/>
        <w:textAlignment w:val="auto"/>
        <w:rPr>
          <w:b/>
        </w:rPr>
      </w:pPr>
      <w:bookmarkStart w:id="75" w:name="_Toc22115"/>
      <w:r>
        <w:rPr>
          <w:b/>
        </w:rPr>
        <w:t>4.3.2 The  influence of expectation on customer satisfaction in financial institution</w:t>
      </w:r>
      <w:bookmarkEnd w:id="75"/>
    </w:p>
    <w:p w14:paraId="0E8AD5F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This section discusses findings related to the influence of customer expectations on satisfaction at CRDB Bank’s Temeke branch. Customer expectations play a pivotal role in shaping perceptions of service quality and ultimately influence satisfaction levels. In financial institutions, where service quality directly impacts customer trust and loyalty, understanding the expectations customers hold is essential to delivering a satisfactory banking experience. This analysis seeks to explore how initial expectations about service quality, efficiency, and reliability affect customer satisfaction upon receiving these services.</w:t>
      </w:r>
    </w:p>
    <w:p w14:paraId="3962681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0BDCDAE8">
      <w:pPr>
        <w:pStyle w:val="8"/>
        <w:pageBreakBefore w:val="0"/>
        <w:kinsoku/>
        <w:wordWrap/>
        <w:overflowPunct/>
        <w:topLinePunct w:val="0"/>
        <w:bidi w:val="0"/>
        <w:snapToGrid/>
        <w:spacing w:beforeAutospacing="0" w:after="0" w:afterAutospacing="0" w:line="360" w:lineRule="auto"/>
        <w:textAlignment w:val="auto"/>
      </w:pPr>
      <w:bookmarkStart w:id="76" w:name="_Toc17737"/>
      <w:r>
        <w:t>Table 4.6: The influence of expectation on customer satisfaction in financial institution</w:t>
      </w:r>
      <w:bookmarkEnd w:id="76"/>
    </w:p>
    <w:tbl>
      <w:tblPr>
        <w:tblStyle w:val="26"/>
        <w:tblW w:w="8725" w:type="dxa"/>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fixed"/>
        <w:tblCellMar>
          <w:top w:w="0" w:type="dxa"/>
          <w:left w:w="108" w:type="dxa"/>
          <w:bottom w:w="0" w:type="dxa"/>
          <w:right w:w="108" w:type="dxa"/>
        </w:tblCellMar>
      </w:tblPr>
      <w:tblGrid>
        <w:gridCol w:w="4728"/>
        <w:gridCol w:w="847"/>
        <w:gridCol w:w="540"/>
        <w:gridCol w:w="521"/>
        <w:gridCol w:w="636"/>
        <w:gridCol w:w="733"/>
        <w:gridCol w:w="720"/>
      </w:tblGrid>
      <w:tr w14:paraId="00AB71B5">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rPr>
          <w:trHeight w:val="1134" w:hRule="atLeast"/>
        </w:trPr>
        <w:tc>
          <w:tcPr>
            <w:tcW w:w="4728" w:type="dxa"/>
            <w:shd w:val="clear" w:color="auto" w:fill="auto"/>
          </w:tcPr>
          <w:p w14:paraId="0D2B672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Statement </w:t>
            </w:r>
          </w:p>
        </w:tc>
        <w:tc>
          <w:tcPr>
            <w:tcW w:w="847" w:type="dxa"/>
            <w:shd w:val="clear" w:color="auto" w:fill="auto"/>
            <w:textDirection w:val="btLr"/>
          </w:tcPr>
          <w:p w14:paraId="73BC457C">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Agree</w:t>
            </w:r>
          </w:p>
        </w:tc>
        <w:tc>
          <w:tcPr>
            <w:tcW w:w="540" w:type="dxa"/>
            <w:shd w:val="clear" w:color="auto" w:fill="auto"/>
            <w:textDirection w:val="btLr"/>
          </w:tcPr>
          <w:p w14:paraId="411FD4B1">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Agree</w:t>
            </w:r>
          </w:p>
        </w:tc>
        <w:tc>
          <w:tcPr>
            <w:tcW w:w="521" w:type="dxa"/>
            <w:shd w:val="clear" w:color="auto" w:fill="auto"/>
            <w:textDirection w:val="btLr"/>
          </w:tcPr>
          <w:p w14:paraId="336E4E26">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Neutral</w:t>
            </w:r>
          </w:p>
        </w:tc>
        <w:tc>
          <w:tcPr>
            <w:tcW w:w="636" w:type="dxa"/>
            <w:shd w:val="clear" w:color="auto" w:fill="auto"/>
            <w:textDirection w:val="btLr"/>
          </w:tcPr>
          <w:p w14:paraId="29E927A6">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Disagree</w:t>
            </w:r>
          </w:p>
        </w:tc>
        <w:tc>
          <w:tcPr>
            <w:tcW w:w="733" w:type="dxa"/>
            <w:shd w:val="clear" w:color="auto" w:fill="auto"/>
            <w:textDirection w:val="btLr"/>
          </w:tcPr>
          <w:p w14:paraId="007A068F">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Disagree</w:t>
            </w:r>
          </w:p>
        </w:tc>
        <w:tc>
          <w:tcPr>
            <w:tcW w:w="720" w:type="dxa"/>
            <w:shd w:val="clear" w:color="auto" w:fill="auto"/>
            <w:textDirection w:val="btLr"/>
          </w:tcPr>
          <w:p w14:paraId="2B61E8EC">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Mean </w:t>
            </w:r>
          </w:p>
        </w:tc>
      </w:tr>
      <w:tr w14:paraId="76DE31DE">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304421A2">
            <w:pPr>
              <w:pageBreakBefore w:val="0"/>
              <w:kinsoku/>
              <w:wordWrap/>
              <w:overflowPunct/>
              <w:topLinePunct w:val="0"/>
              <w:bidi w:val="0"/>
              <w:snapToGrid/>
              <w:spacing w:beforeAutospacing="0" w:after="0" w:afterAutospacing="0" w:line="360" w:lineRule="auto"/>
              <w:textAlignment w:val="auto"/>
              <w:rPr>
                <w:rFonts w:ascii="Arial" w:hAnsi="Arial" w:cs="Arial"/>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Failing to meet my expectations decrease my satisfaction with the service</w:t>
            </w:r>
          </w:p>
        </w:tc>
        <w:tc>
          <w:tcPr>
            <w:tcW w:w="847" w:type="dxa"/>
            <w:shd w:val="clear" w:color="auto" w:fill="auto"/>
          </w:tcPr>
          <w:p w14:paraId="1E76066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540" w:type="dxa"/>
            <w:shd w:val="clear" w:color="auto" w:fill="auto"/>
          </w:tcPr>
          <w:p w14:paraId="771EBB1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6</w:t>
            </w:r>
          </w:p>
        </w:tc>
        <w:tc>
          <w:tcPr>
            <w:tcW w:w="521" w:type="dxa"/>
            <w:shd w:val="clear" w:color="auto" w:fill="auto"/>
          </w:tcPr>
          <w:p w14:paraId="7365AE6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636" w:type="dxa"/>
            <w:shd w:val="clear" w:color="auto" w:fill="auto"/>
          </w:tcPr>
          <w:p w14:paraId="791A256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w:t>
            </w:r>
          </w:p>
        </w:tc>
        <w:tc>
          <w:tcPr>
            <w:tcW w:w="733" w:type="dxa"/>
            <w:shd w:val="clear" w:color="auto" w:fill="auto"/>
          </w:tcPr>
          <w:p w14:paraId="6ABF927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8</w:t>
            </w:r>
          </w:p>
        </w:tc>
        <w:tc>
          <w:tcPr>
            <w:tcW w:w="720" w:type="dxa"/>
            <w:shd w:val="clear" w:color="auto" w:fill="auto"/>
          </w:tcPr>
          <w:p w14:paraId="26F41D8D">
            <w:pPr>
              <w:pageBreakBefore w:val="0"/>
              <w:kinsoku/>
              <w:wordWrap/>
              <w:overflowPunct/>
              <w:topLinePunct w:val="0"/>
              <w:bidi w:val="0"/>
              <w:snapToGrid/>
              <w:spacing w:beforeAutospacing="0" w:after="0" w:afterAutospacing="0" w:line="360" w:lineRule="auto"/>
              <w:textAlignment w:val="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2.33</w:t>
            </w:r>
          </w:p>
        </w:tc>
      </w:tr>
      <w:tr w14:paraId="2A9E7BD5">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59CBCC50">
            <w:pPr>
              <w:pageBreakBefore w:val="0"/>
              <w:kinsoku/>
              <w:wordWrap/>
              <w:overflowPunct/>
              <w:topLinePunct w:val="0"/>
              <w:bidi w:val="0"/>
              <w:snapToGrid/>
              <w:spacing w:beforeAutospacing="0" w:after="0" w:afterAutospacing="0" w:line="360" w:lineRule="auto"/>
              <w:textAlignment w:val="auto"/>
              <w:rPr>
                <w:rFonts w:ascii="Arial" w:hAnsi="Arial" w:cs="Arial"/>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The service is available whenever I need it</w:t>
            </w:r>
          </w:p>
        </w:tc>
        <w:tc>
          <w:tcPr>
            <w:tcW w:w="847" w:type="dxa"/>
            <w:shd w:val="clear" w:color="auto" w:fill="auto"/>
          </w:tcPr>
          <w:p w14:paraId="48F965C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tc>
        <w:tc>
          <w:tcPr>
            <w:tcW w:w="540" w:type="dxa"/>
            <w:shd w:val="clear" w:color="auto" w:fill="auto"/>
          </w:tcPr>
          <w:p w14:paraId="69C7322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521" w:type="dxa"/>
            <w:shd w:val="clear" w:color="auto" w:fill="auto"/>
          </w:tcPr>
          <w:p w14:paraId="1AAA02B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w:t>
            </w:r>
          </w:p>
        </w:tc>
        <w:tc>
          <w:tcPr>
            <w:tcW w:w="636" w:type="dxa"/>
            <w:shd w:val="clear" w:color="auto" w:fill="auto"/>
          </w:tcPr>
          <w:p w14:paraId="5107581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14</w:t>
            </w:r>
          </w:p>
        </w:tc>
        <w:tc>
          <w:tcPr>
            <w:tcW w:w="733" w:type="dxa"/>
            <w:shd w:val="clear" w:color="auto" w:fill="auto"/>
          </w:tcPr>
          <w:p w14:paraId="61F3FED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720" w:type="dxa"/>
            <w:shd w:val="clear" w:color="auto" w:fill="auto"/>
          </w:tcPr>
          <w:p w14:paraId="25418492">
            <w:pPr>
              <w:pageBreakBefore w:val="0"/>
              <w:kinsoku/>
              <w:wordWrap/>
              <w:overflowPunct/>
              <w:topLinePunct w:val="0"/>
              <w:bidi w:val="0"/>
              <w:snapToGrid/>
              <w:spacing w:beforeAutospacing="0" w:after="0" w:afterAutospacing="0" w:line="360" w:lineRule="auto"/>
              <w:textAlignment w:val="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2.30</w:t>
            </w:r>
          </w:p>
        </w:tc>
      </w:tr>
      <w:tr w14:paraId="4DF9489B">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3BD7D8B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My prior expectations significantly influence my perception of service quality</w:t>
            </w:r>
          </w:p>
        </w:tc>
        <w:tc>
          <w:tcPr>
            <w:tcW w:w="847" w:type="dxa"/>
            <w:shd w:val="clear" w:color="auto" w:fill="auto"/>
          </w:tcPr>
          <w:p w14:paraId="05E213A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w:t>
            </w:r>
          </w:p>
        </w:tc>
        <w:tc>
          <w:tcPr>
            <w:tcW w:w="540" w:type="dxa"/>
            <w:shd w:val="clear" w:color="auto" w:fill="auto"/>
          </w:tcPr>
          <w:p w14:paraId="40A94A6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9</w:t>
            </w:r>
          </w:p>
        </w:tc>
        <w:tc>
          <w:tcPr>
            <w:tcW w:w="521" w:type="dxa"/>
            <w:shd w:val="clear" w:color="auto" w:fill="auto"/>
          </w:tcPr>
          <w:p w14:paraId="3849E7D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636" w:type="dxa"/>
            <w:shd w:val="clear" w:color="auto" w:fill="auto"/>
          </w:tcPr>
          <w:p w14:paraId="00FFFDC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733" w:type="dxa"/>
            <w:shd w:val="clear" w:color="auto" w:fill="auto"/>
          </w:tcPr>
          <w:p w14:paraId="35362FF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720" w:type="dxa"/>
            <w:shd w:val="clear" w:color="auto" w:fill="auto"/>
          </w:tcPr>
          <w:p w14:paraId="3872843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3.60</w:t>
            </w:r>
          </w:p>
        </w:tc>
      </w:tr>
    </w:tbl>
    <w:p w14:paraId="7364E13A">
      <w:pPr>
        <w:pageBreakBefore w:val="0"/>
        <w:kinsoku/>
        <w:wordWrap/>
        <w:overflowPunct/>
        <w:topLinePunct w:val="0"/>
        <w:bidi w:val="0"/>
        <w:snapToGrid/>
        <w:spacing w:beforeAutospacing="0" w:after="0" w:afterAutospacing="0" w:line="360" w:lineRule="auto"/>
        <w:textAlignment w:val="auto"/>
        <w:rPr>
          <w:rFonts w:ascii="Times New Roman" w:hAnsi="Times New Roman" w:eastAsia="Calibri" w:cs="Times New Roman"/>
          <w:b/>
          <w:sz w:val="24"/>
          <w:szCs w:val="24"/>
        </w:rPr>
      </w:pPr>
    </w:p>
    <w:p w14:paraId="06755B2A">
      <w:pPr>
        <w:pageBreakBefore w:val="0"/>
        <w:kinsoku/>
        <w:wordWrap/>
        <w:overflowPunct/>
        <w:topLinePunct w:val="0"/>
        <w:bidi w:val="0"/>
        <w:snapToGrid/>
        <w:spacing w:beforeAutospacing="0" w:after="0" w:afterAutospacing="0" w:line="360" w:lineRule="auto"/>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Source: Field data, 2024</w:t>
      </w:r>
    </w:p>
    <w:p w14:paraId="15A5C0A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The findings from Table 4.6 reveal how customer expectations impact satisfaction at CRDB Bank’s Temeke branch, based on the mean scores for three key statements. The statement "Failing to meet my expectations decreases my satisfaction with the service" had a mean score of 2.33, indicating a general tendency toward disagreement or neutrality. This suggests that while some respondents acknowledge a decrease in satisfaction when expectations are not met, a significant portion either disagrees or feels indifferent. This could imply that some customers may have adjusted their expectations based on prior experiences with the bank or are less affected by unmet expectations in specific instances</w:t>
      </w:r>
    </w:p>
    <w:p w14:paraId="2C9825D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60BCD623">
      <w:pPr>
        <w:pageBreakBefore w:val="0"/>
        <w:kinsoku/>
        <w:wordWrap/>
        <w:overflowPunct/>
        <w:topLinePunct w:val="0"/>
        <w:bidi w:val="0"/>
        <w:snapToGrid/>
        <w:spacing w:beforeAutospacing="0" w:after="0" w:afterAutospacing="0" w:line="360" w:lineRule="auto"/>
        <w:jc w:val="both"/>
        <w:textAlignment w:val="auto"/>
      </w:pPr>
      <w:r>
        <w:rPr>
          <w:rFonts w:ascii="Times New Roman" w:hAnsi="Times New Roman" w:cs="Times New Roman"/>
          <w:sz w:val="24"/>
        </w:rPr>
        <w:t>In contrast, the statement "My prior expectations significantly influence my perception of service quality" received a mean score of 3.60, reflecting a stronger agreement among respondents that expectations play a critical role in shaping how they perceive the bank’s service quality. With 19 out of 30 respondents agreeing or strongly agreeing, it is evident that expectations set a baseline for evaluating service experiences, influencing overall satisfaction. Meanwhile, the statement "The service is available whenever I need it" received a lower mean score of 2.30, suggesting that many customers feel the bank’s availability does not consistently meet their needs. This lower perception of availability may contribute to unmet expectations, affecting satisfaction levels. Together, these findings highlight that while expectations significantly impact perceptions of quality, the bank may need to focus on enhancing service accessibility and reliability to align more closely with customer expectations</w:t>
      </w:r>
      <w:r>
        <w:t>.</w:t>
      </w:r>
    </w:p>
    <w:p w14:paraId="092C6C15">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“I have high expectations from CRDB Bank based on their advertising and my previous experiences. When I come in expecting quick service or easy access to financial products, I often feel let down if I encounter delays or complicated processes. This mismatch between what I expect and what I experience significantly impacts my overall satisfaction”</w:t>
      </w:r>
    </w:p>
    <w:p w14:paraId="056D3EAB">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403F0409">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“My expectations are often shaped by the bank’s communication, especially regarding new services or offers. If I receive timely updates and clear information, I feel more confident in their ability to meet my needs. However, when communication is lacking, it creates uncertainty and leads to disappointment”.</w:t>
      </w:r>
    </w:p>
    <w:p w14:paraId="71DF6842">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0DBB660F">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“I expect the staff at CRDB Bank to be knowledgeable and attentive. When they meet these expectations by providing personalized service and understanding my financial needs, I feel valued as a customer. Conversely, if I feel ignored or treated like just another number, it diminishes my satisfaction”</w:t>
      </w:r>
    </w:p>
    <w:p w14:paraId="45FF5C2B">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3BFFE6D1">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“I expect a consistent level of service every time I visit the bank. If I experience exceptional service one time and then a subpar experience the next, it creates confusion about what I can truly expect from CRDB. Consistency is crucial for maintaining my satisfaction”</w:t>
      </w:r>
    </w:p>
    <w:p w14:paraId="3A3D52E2">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“As a younger customer, I expect CRDB Bank to offer modern digital solutions that simplify banking processes. If their online and mobile banking services don’t meet my expectations for ease of use or functionality, it negatively affects my overall satisfaction with the bank.:</w:t>
      </w:r>
    </w:p>
    <w:p w14:paraId="72A98E70">
      <w:pPr>
        <w:pageBreakBefore w:val="0"/>
        <w:kinsoku/>
        <w:wordWrap/>
        <w:overflowPunct/>
        <w:topLinePunct w:val="0"/>
        <w:bidi w:val="0"/>
        <w:snapToGrid/>
        <w:spacing w:beforeAutospacing="0" w:after="0" w:afterAutospacing="0" w:line="360" w:lineRule="auto"/>
        <w:jc w:val="both"/>
        <w:textAlignment w:val="auto"/>
      </w:pPr>
    </w:p>
    <w:p w14:paraId="67F49591">
      <w:pPr>
        <w:pageBreakBefore w:val="0"/>
        <w:kinsoku/>
        <w:wordWrap/>
        <w:overflowPunct/>
        <w:topLinePunct w:val="0"/>
        <w:bidi w:val="0"/>
        <w:snapToGrid/>
        <w:spacing w:beforeAutospacing="0" w:after="0" w:afterAutospacing="0" w:line="360" w:lineRule="auto"/>
        <w:jc w:val="both"/>
        <w:textAlignment w:val="auto"/>
      </w:pPr>
    </w:p>
    <w:p w14:paraId="6E2294C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findings from the interviews and questionnaires at CRDB Bank's Temeke branch reveal a nuanced relationship between customer expectations and satisfaction. While a mean score of 2.33 indicates that many customers do not strongly agree that failing to meet their expectations significantly decreases their satisfaction, it suggests that some have either adjusted their expectations or are indifferent to unmet expectations. In contrast, the statement regarding the influence of prior expectations on service quality received a mean score of 3.60, highlighting a strong consensus that expectations play a crucial role in shaping perceptions of service. However, a lower mean score of 2.30 for the availability of service indicates that customers often feel the bank does not meet their accessibility needs, contributing to dissatisfaction. Overall, the insights underline the importance of managing customer expectations through effective communication and consistent service delivery, while also enhancing the bank's accessibility to align better with customer needs and improve satisfaction levels</w:t>
      </w:r>
    </w:p>
    <w:p w14:paraId="690D710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5713BFFF">
      <w:pPr>
        <w:pStyle w:val="8"/>
        <w:pageBreakBefore w:val="0"/>
        <w:kinsoku/>
        <w:wordWrap/>
        <w:overflowPunct/>
        <w:topLinePunct w:val="0"/>
        <w:bidi w:val="0"/>
        <w:snapToGrid/>
        <w:spacing w:beforeAutospacing="0" w:after="0" w:afterAutospacing="0" w:line="360" w:lineRule="auto"/>
        <w:textAlignment w:val="auto"/>
      </w:pPr>
      <w:bookmarkStart w:id="77" w:name="_Toc27231"/>
      <w:r>
        <w:t>Table 4.7:  The influence of Disconfirmation beliefs on customer satisfaction in financial institution</w:t>
      </w:r>
      <w:bookmarkEnd w:id="77"/>
    </w:p>
    <w:tbl>
      <w:tblPr>
        <w:tblStyle w:val="26"/>
        <w:tblW w:w="8725" w:type="dxa"/>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fixed"/>
        <w:tblCellMar>
          <w:top w:w="0" w:type="dxa"/>
          <w:left w:w="108" w:type="dxa"/>
          <w:bottom w:w="0" w:type="dxa"/>
          <w:right w:w="108" w:type="dxa"/>
        </w:tblCellMar>
      </w:tblPr>
      <w:tblGrid>
        <w:gridCol w:w="4728"/>
        <w:gridCol w:w="847"/>
        <w:gridCol w:w="540"/>
        <w:gridCol w:w="521"/>
        <w:gridCol w:w="636"/>
        <w:gridCol w:w="733"/>
        <w:gridCol w:w="720"/>
      </w:tblGrid>
      <w:tr w14:paraId="71F213AA">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rPr>
          <w:trHeight w:val="1134" w:hRule="atLeast"/>
        </w:trPr>
        <w:tc>
          <w:tcPr>
            <w:tcW w:w="4728" w:type="dxa"/>
            <w:shd w:val="clear" w:color="auto" w:fill="auto"/>
          </w:tcPr>
          <w:p w14:paraId="360837C6">
            <w:pPr>
              <w:pageBreakBefore w:val="0"/>
              <w:kinsoku/>
              <w:wordWrap/>
              <w:overflowPunct/>
              <w:topLinePunct w:val="0"/>
              <w:bidi w:val="0"/>
              <w:snapToGrid/>
              <w:spacing w:beforeAutospacing="0" w:after="0" w:afterAutospacing="0" w:line="360" w:lineRule="auto"/>
              <w:textAlignment w:val="auto"/>
              <w:rPr>
                <w:rFonts w:ascii="Arial" w:hAnsi="Arial" w:cs="Arial"/>
                <w:b w:val="0"/>
                <w:bCs/>
                <w:sz w:val="24"/>
                <w:szCs w:val="24"/>
              </w:rPr>
            </w:pPr>
            <w:r>
              <w:rPr>
                <w:rFonts w:ascii="Arial" w:hAnsi="Arial" w:cs="Arial"/>
                <w:b w:val="0"/>
                <w:bCs/>
                <w:sz w:val="24"/>
                <w:szCs w:val="24"/>
              </w:rPr>
              <w:t xml:space="preserve">Statement </w:t>
            </w:r>
          </w:p>
        </w:tc>
        <w:tc>
          <w:tcPr>
            <w:tcW w:w="847" w:type="dxa"/>
            <w:shd w:val="clear" w:color="auto" w:fill="auto"/>
            <w:textDirection w:val="btLr"/>
          </w:tcPr>
          <w:p w14:paraId="4F0DF97A">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Agree</w:t>
            </w:r>
          </w:p>
        </w:tc>
        <w:tc>
          <w:tcPr>
            <w:tcW w:w="540" w:type="dxa"/>
            <w:shd w:val="clear" w:color="auto" w:fill="auto"/>
            <w:textDirection w:val="btLr"/>
          </w:tcPr>
          <w:p w14:paraId="0C8A85DD">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Agree</w:t>
            </w:r>
          </w:p>
        </w:tc>
        <w:tc>
          <w:tcPr>
            <w:tcW w:w="521" w:type="dxa"/>
            <w:shd w:val="clear" w:color="auto" w:fill="auto"/>
            <w:textDirection w:val="btLr"/>
          </w:tcPr>
          <w:p w14:paraId="0087EB14">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Neutral</w:t>
            </w:r>
          </w:p>
        </w:tc>
        <w:tc>
          <w:tcPr>
            <w:tcW w:w="636" w:type="dxa"/>
            <w:shd w:val="clear" w:color="auto" w:fill="auto"/>
            <w:textDirection w:val="btLr"/>
          </w:tcPr>
          <w:p w14:paraId="452D3EDE">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Disagree</w:t>
            </w:r>
          </w:p>
        </w:tc>
        <w:tc>
          <w:tcPr>
            <w:tcW w:w="733" w:type="dxa"/>
            <w:shd w:val="clear" w:color="auto" w:fill="auto"/>
            <w:textDirection w:val="btLr"/>
          </w:tcPr>
          <w:p w14:paraId="2018066C">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Disagree</w:t>
            </w:r>
          </w:p>
        </w:tc>
        <w:tc>
          <w:tcPr>
            <w:tcW w:w="720" w:type="dxa"/>
            <w:shd w:val="clear" w:color="auto" w:fill="auto"/>
            <w:textDirection w:val="btLr"/>
          </w:tcPr>
          <w:p w14:paraId="74EFE6AE">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Mean </w:t>
            </w:r>
          </w:p>
        </w:tc>
      </w:tr>
      <w:tr w14:paraId="6E28518C">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6494945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Confirmation bias affects how I evaluate the quality of service I receive</w:t>
            </w:r>
          </w:p>
        </w:tc>
        <w:tc>
          <w:tcPr>
            <w:tcW w:w="847" w:type="dxa"/>
            <w:shd w:val="clear" w:color="auto" w:fill="auto"/>
          </w:tcPr>
          <w:p w14:paraId="0E5FF8E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6</w:t>
            </w:r>
          </w:p>
        </w:tc>
        <w:tc>
          <w:tcPr>
            <w:tcW w:w="540" w:type="dxa"/>
            <w:shd w:val="clear" w:color="auto" w:fill="auto"/>
          </w:tcPr>
          <w:p w14:paraId="2EEC1F4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521" w:type="dxa"/>
            <w:shd w:val="clear" w:color="auto" w:fill="auto"/>
          </w:tcPr>
          <w:p w14:paraId="3EE4557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636" w:type="dxa"/>
            <w:shd w:val="clear" w:color="auto" w:fill="auto"/>
          </w:tcPr>
          <w:p w14:paraId="0FEBE14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w:t>
            </w:r>
          </w:p>
        </w:tc>
        <w:tc>
          <w:tcPr>
            <w:tcW w:w="733" w:type="dxa"/>
            <w:shd w:val="clear" w:color="auto" w:fill="auto"/>
          </w:tcPr>
          <w:p w14:paraId="5EA455F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tc>
        <w:tc>
          <w:tcPr>
            <w:tcW w:w="720" w:type="dxa"/>
            <w:shd w:val="clear" w:color="auto" w:fill="auto"/>
          </w:tcPr>
          <w:p w14:paraId="72DFB66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3.1</w:t>
            </w:r>
          </w:p>
        </w:tc>
      </w:tr>
      <w:tr w14:paraId="42D6D135">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0EB4622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The reputation of the service provider affects the initial quality of the service</w:t>
            </w:r>
          </w:p>
        </w:tc>
        <w:tc>
          <w:tcPr>
            <w:tcW w:w="847" w:type="dxa"/>
            <w:shd w:val="clear" w:color="auto" w:fill="auto"/>
          </w:tcPr>
          <w:p w14:paraId="130651C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8</w:t>
            </w:r>
          </w:p>
        </w:tc>
        <w:tc>
          <w:tcPr>
            <w:tcW w:w="540" w:type="dxa"/>
            <w:shd w:val="clear" w:color="auto" w:fill="auto"/>
          </w:tcPr>
          <w:p w14:paraId="6386EB2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11</w:t>
            </w:r>
          </w:p>
        </w:tc>
        <w:tc>
          <w:tcPr>
            <w:tcW w:w="521" w:type="dxa"/>
            <w:shd w:val="clear" w:color="auto" w:fill="auto"/>
          </w:tcPr>
          <w:p w14:paraId="42734F6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636" w:type="dxa"/>
            <w:shd w:val="clear" w:color="auto" w:fill="auto"/>
          </w:tcPr>
          <w:p w14:paraId="6F71060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733" w:type="dxa"/>
            <w:shd w:val="clear" w:color="auto" w:fill="auto"/>
          </w:tcPr>
          <w:p w14:paraId="0EEFE35E">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720" w:type="dxa"/>
            <w:shd w:val="clear" w:color="auto" w:fill="auto"/>
          </w:tcPr>
          <w:p w14:paraId="13BD7D4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3.47</w:t>
            </w:r>
          </w:p>
        </w:tc>
      </w:tr>
      <w:tr w14:paraId="2709186D">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6ED6B2F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It will be easy to address your current views about the service provider</w:t>
            </w:r>
          </w:p>
        </w:tc>
        <w:tc>
          <w:tcPr>
            <w:tcW w:w="847" w:type="dxa"/>
            <w:shd w:val="clear" w:color="auto" w:fill="auto"/>
          </w:tcPr>
          <w:p w14:paraId="637D6B18">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3</w:t>
            </w:r>
          </w:p>
        </w:tc>
        <w:tc>
          <w:tcPr>
            <w:tcW w:w="540" w:type="dxa"/>
            <w:shd w:val="clear" w:color="auto" w:fill="auto"/>
          </w:tcPr>
          <w:p w14:paraId="3305D53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521" w:type="dxa"/>
            <w:shd w:val="clear" w:color="auto" w:fill="auto"/>
          </w:tcPr>
          <w:p w14:paraId="3F8BC31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636" w:type="dxa"/>
            <w:shd w:val="clear" w:color="auto" w:fill="auto"/>
          </w:tcPr>
          <w:p w14:paraId="244BD91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w:t>
            </w:r>
          </w:p>
        </w:tc>
        <w:tc>
          <w:tcPr>
            <w:tcW w:w="733" w:type="dxa"/>
            <w:shd w:val="clear" w:color="auto" w:fill="auto"/>
          </w:tcPr>
          <w:p w14:paraId="099AD73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720" w:type="dxa"/>
            <w:shd w:val="clear" w:color="auto" w:fill="auto"/>
          </w:tcPr>
          <w:p w14:paraId="520F047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2.77</w:t>
            </w:r>
          </w:p>
        </w:tc>
      </w:tr>
    </w:tbl>
    <w:p w14:paraId="7E441382">
      <w:pPr>
        <w:pageBreakBefore w:val="0"/>
        <w:kinsoku/>
        <w:wordWrap/>
        <w:overflowPunct/>
        <w:topLinePunct w:val="0"/>
        <w:bidi w:val="0"/>
        <w:snapToGrid/>
        <w:spacing w:beforeAutospacing="0" w:after="0" w:afterAutospacing="0" w:line="360" w:lineRule="auto"/>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Source: Field data, 2024</w:t>
      </w:r>
    </w:p>
    <w:p w14:paraId="2454515A">
      <w:pPr>
        <w:pageBreakBefore w:val="0"/>
        <w:kinsoku/>
        <w:wordWrap/>
        <w:overflowPunct/>
        <w:topLinePunct w:val="0"/>
        <w:bidi w:val="0"/>
        <w:snapToGrid/>
        <w:spacing w:beforeAutospacing="0" w:after="0" w:afterAutospacing="0" w:line="360" w:lineRule="auto"/>
        <w:textAlignment w:val="auto"/>
        <w:rPr>
          <w:rFonts w:ascii="Times New Roman" w:hAnsi="Times New Roman" w:eastAsia="Calibri" w:cs="Times New Roman"/>
          <w:b/>
          <w:sz w:val="24"/>
          <w:szCs w:val="24"/>
        </w:rPr>
      </w:pPr>
    </w:p>
    <w:p w14:paraId="16AC2AB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The findings from Table 4.7 indicate that disconfirmation beliefs play a significant role in shaping customer satisfaction at CRDB Bank's Temeke branch, as reflected in the mean scores for three critical statements. The statement "Confirmation bias affects how I evaluate the quality of service I receive" received a mean score of 3.1, suggesting that a majority of respondents agree that their pre-existing beliefs and experiences influence their evaluation of service quality. With 13 respondents indicating agreement or strong agreement, this finding underscores the impact of confirmation bias on customer perceptions, highlighting that customers may tend to focus on information that aligns with their previous experiences with the bank, potentially skewing their satisfaction assessments</w:t>
      </w:r>
    </w:p>
    <w:p w14:paraId="07BDE3B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7D2D17D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 xml:space="preserve">Additionally, the statement "The reputation of the service provider affects the initial quality of the service" garnered a mean score of 3.47, which points to a strong consensus among respondents that the bank's reputation plays a critical role in shaping their initial perceptions of service quality. With 19 out of 30 respondents agreeing or strongly agreeing, it is evident that a positive reputation can enhance customer expectations and satisfaction levels. Conversely, the statement "It will be easy to address your current views about the service provider" received a lower mean score of 2.77, indicating that many customers may find it challenging to change their existing perceptions of the bank. This difficulty in adjusting views could stem from entrenched beliefs or experiences that may not align with attempts at service improvement. Together, these findings highlight the importance of reputation management and the need for the bank to actively engage with customer feedback to effectively address disconfirmation beliefs and enhance overall satisfaction. </w:t>
      </w:r>
    </w:p>
    <w:p w14:paraId="72D252B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1F9DD69F">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I often have high expectations based on the bank's promotions and my previous experiences, but there have been several occasions where the service didn't match my expectations. For instance, I expected faster processing times for loans, but delays have left me feeling disappointed and questioning my overall satisfaction with the bank</w:t>
      </w:r>
    </w:p>
    <w:p w14:paraId="2F7094D9">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My experiences with CRDB Bank vary greatly. Some visits are great, with staff providing exceptional service, while others leave me feeling ignored or undervalued. This inconsistency affects my belief in the bank's commitment to customer satisfaction and makes me hesitant to recommend their services</w:t>
      </w:r>
    </w:p>
    <w:p w14:paraId="6945B6C9">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p>
    <w:p w14:paraId="05CAA69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When the bank fails to communicate effectively about delays or changes in service, it leads to negative disconfirmation beliefs. For example, if I expect to receive timely updates on my application status and I don’t hear anything, it makes me doubt the bank's reliability and responsiveness, impacting my satisfaction.</w:t>
      </w:r>
    </w:p>
    <w:p w14:paraId="79D4DC8D">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As a long-time customer, I expect personalized service where the staff recognize my needs and history with the bank. When this expectation is met, I feel valued, but when I encounter staff who seem indifferent or do not remember me, it creates a disconnect that negatively influences my perception of the bank's service quality</w:t>
      </w:r>
    </w:p>
    <w:p w14:paraId="6CA0FA8F">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p>
    <w:p w14:paraId="382C07D3">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r>
        <w:rPr>
          <w:rFonts w:ascii="Times New Roman" w:hAnsi="Times New Roman" w:cs="Times New Roman"/>
          <w:i/>
          <w:sz w:val="24"/>
          <w:szCs w:val="24"/>
        </w:rPr>
        <w:t>I believe that if the bank truly listened to customer feedback and acted on it, it would help bridge the gap between expectations and actual service. I've had experiences where my concerns were not adequately addressed, leading to feelings of frustration and diminishing my overall satisfaction with CRDB Bank</w:t>
      </w:r>
    </w:p>
    <w:p w14:paraId="01ACC3BD">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szCs w:val="24"/>
        </w:rPr>
      </w:pPr>
    </w:p>
    <w:p w14:paraId="6026012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color w:val="000000" w:themeColor="text1"/>
          <w:sz w:val="24"/>
          <w:szCs w:val="24"/>
          <w14:textFill>
            <w14:solidFill>
              <w14:schemeClr w14:val="tx1"/>
            </w14:solidFill>
          </w14:textFill>
        </w:rPr>
        <w:t xml:space="preserve">The findings from interview and questionnaires  reveal the significant influence of disconfirmation beliefs on customer satisfaction at CRDB Bank's Temeke branch, as evidenced by responses to three critical statements. The statement regarding confirmation bias received a mean score of 3.1, indicating that many customers believe their prior experiences and beliefs significantly shape their evaluation of service quality, with 13 respondents affirming this view. Additionally, a mean score of 3.47 for the statement about the impact of the bank's reputation on initial service quality underscores that a positive reputation enhances customer expectations and satisfaction, as agreed upon by 19 out of 30 respondents. Conversely, the statement regarding the ease of addressing current views on the service provider had a lower mean score of 2.77, suggesting that customers find it challenging to modify entrenched perceptions, which may stem from inconsistent service experiences or inadequate communication from the bank. Together, these insights emphasize the need for CRDB Bank to prioritize reputation management and actively engage with customer feedback to effectively address disconfirmation beliefs and improve overall customer satisfaction. These findings align with the study conducted by </w:t>
      </w:r>
      <w:r>
        <w:rPr>
          <w:rFonts w:ascii="Times New Roman" w:hAnsi="Times New Roman" w:cs="Times New Roman"/>
          <w:sz w:val="24"/>
          <w:szCs w:val="24"/>
        </w:rPr>
        <w:t xml:space="preserve">According to </w:t>
      </w:r>
      <w:sdt>
        <w:sdtPr>
          <w:rPr>
            <w:rFonts w:ascii="Times New Roman" w:hAnsi="Times New Roman" w:cs="Times New Roman"/>
            <w:sz w:val="24"/>
            <w:szCs w:val="24"/>
          </w:rPr>
          <w:id w:val="-172031121"/>
        </w:sdtPr>
        <w:sdtEndPr>
          <w:rPr>
            <w:rFonts w:ascii="Times New Roman" w:hAnsi="Times New Roman" w:cs="Times New Roman"/>
            <w:sz w:val="24"/>
            <w:szCs w:val="24"/>
          </w:r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Smi02 \l 1033 </w:instrText>
          </w:r>
          <w:r>
            <w:rPr>
              <w:rFonts w:ascii="Times New Roman" w:hAnsi="Times New Roman" w:cs="Times New Roman"/>
              <w:sz w:val="24"/>
              <w:szCs w:val="24"/>
            </w:rPr>
            <w:fldChar w:fldCharType="separate"/>
          </w:r>
          <w:r>
            <w:rPr>
              <w:rFonts w:ascii="Times New Roman" w:hAnsi="Times New Roman" w:cs="Times New Roman"/>
              <w:sz w:val="24"/>
              <w:szCs w:val="24"/>
            </w:rPr>
            <w:t>(Smith, 2002)</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emphasize the importance of managing customer expectations to mitigate the effects of disconfirmation belief on satisfaction outcomes. Their research suggests that proactive communication and transparency can help align customers expectations with the actual satisfaction levels.</w:t>
      </w:r>
    </w:p>
    <w:p w14:paraId="46A5655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158FEB42">
      <w:pPr>
        <w:pStyle w:val="2"/>
        <w:pageBreakBefore w:val="0"/>
        <w:kinsoku/>
        <w:wordWrap/>
        <w:overflowPunct/>
        <w:topLinePunct w:val="0"/>
        <w:bidi w:val="0"/>
        <w:snapToGrid/>
        <w:spacing w:before="0" w:beforeAutospacing="0" w:after="0" w:afterAutospacing="0" w:line="360" w:lineRule="auto"/>
        <w:textAlignment w:val="auto"/>
        <w:rPr>
          <w:b/>
        </w:rPr>
      </w:pPr>
      <w:bookmarkStart w:id="78" w:name="_Toc10975"/>
      <w:r>
        <w:rPr>
          <w:b/>
        </w:rPr>
        <w:t>4.3.3 The influence of perceived performance on customer satisfaction in financial institution</w:t>
      </w:r>
      <w:bookmarkEnd w:id="78"/>
    </w:p>
    <w:p w14:paraId="2C48596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This section presents findings on the impact of perceived performance on customer satisfaction at CRDB Bank’s Temeke branch. Perceived performance, or how customers view the actual service delivered compared to their expectations, is a central factor influencing satisfaction in service industries like banking. In financial institutions, customers evaluate performance based on various aspects, including service efficiency, accuracy, responsiveness, and staff professionalism, all of which shape their overall satisfaction. This analysis aims to assess how CRDB’s service </w:t>
      </w:r>
    </w:p>
    <w:p w14:paraId="716F2A6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delivery aligns with customer perceptions and the extent to which perceived performance contributes to satisfaction or dissatisfaction.</w:t>
      </w:r>
    </w:p>
    <w:p w14:paraId="4393BCF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7842691B">
      <w:pPr>
        <w:pStyle w:val="8"/>
        <w:pageBreakBefore w:val="0"/>
        <w:kinsoku/>
        <w:wordWrap/>
        <w:overflowPunct/>
        <w:topLinePunct w:val="0"/>
        <w:bidi w:val="0"/>
        <w:snapToGrid/>
        <w:spacing w:beforeAutospacing="0" w:after="0" w:afterAutospacing="0" w:line="360" w:lineRule="auto"/>
        <w:textAlignment w:val="auto"/>
      </w:pPr>
      <w:bookmarkStart w:id="79" w:name="_Toc28414"/>
      <w:r>
        <w:t>Table 4.8: The influence of perceived performance on customer satisfaction in financial institution</w:t>
      </w:r>
      <w:bookmarkEnd w:id="79"/>
    </w:p>
    <w:tbl>
      <w:tblPr>
        <w:tblStyle w:val="26"/>
        <w:tblW w:w="8725" w:type="dxa"/>
        <w:tblInd w:w="0" w:type="dxa"/>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Layout w:type="fixed"/>
        <w:tblCellMar>
          <w:top w:w="0" w:type="dxa"/>
          <w:left w:w="108" w:type="dxa"/>
          <w:bottom w:w="0" w:type="dxa"/>
          <w:right w:w="108" w:type="dxa"/>
        </w:tblCellMar>
      </w:tblPr>
      <w:tblGrid>
        <w:gridCol w:w="4728"/>
        <w:gridCol w:w="847"/>
        <w:gridCol w:w="540"/>
        <w:gridCol w:w="521"/>
        <w:gridCol w:w="636"/>
        <w:gridCol w:w="733"/>
        <w:gridCol w:w="720"/>
      </w:tblGrid>
      <w:tr w14:paraId="5EE00055">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rPr>
          <w:trHeight w:val="1134" w:hRule="atLeast"/>
        </w:trPr>
        <w:tc>
          <w:tcPr>
            <w:tcW w:w="4728" w:type="dxa"/>
            <w:shd w:val="clear" w:color="auto" w:fill="auto"/>
          </w:tcPr>
          <w:p w14:paraId="050D06B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Statement </w:t>
            </w:r>
          </w:p>
        </w:tc>
        <w:tc>
          <w:tcPr>
            <w:tcW w:w="847" w:type="dxa"/>
            <w:shd w:val="clear" w:color="auto" w:fill="auto"/>
            <w:textDirection w:val="btLr"/>
          </w:tcPr>
          <w:p w14:paraId="62FE7D5A">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Agree</w:t>
            </w:r>
          </w:p>
        </w:tc>
        <w:tc>
          <w:tcPr>
            <w:tcW w:w="540" w:type="dxa"/>
            <w:shd w:val="clear" w:color="auto" w:fill="auto"/>
            <w:textDirection w:val="btLr"/>
          </w:tcPr>
          <w:p w14:paraId="48A4BF30">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Agree</w:t>
            </w:r>
          </w:p>
        </w:tc>
        <w:tc>
          <w:tcPr>
            <w:tcW w:w="521" w:type="dxa"/>
            <w:shd w:val="clear" w:color="auto" w:fill="auto"/>
            <w:textDirection w:val="btLr"/>
          </w:tcPr>
          <w:p w14:paraId="237226B7">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Neutral</w:t>
            </w:r>
          </w:p>
        </w:tc>
        <w:tc>
          <w:tcPr>
            <w:tcW w:w="636" w:type="dxa"/>
            <w:shd w:val="clear" w:color="auto" w:fill="auto"/>
            <w:textDirection w:val="btLr"/>
          </w:tcPr>
          <w:p w14:paraId="53C62DD8">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Disagree</w:t>
            </w:r>
          </w:p>
        </w:tc>
        <w:tc>
          <w:tcPr>
            <w:tcW w:w="733" w:type="dxa"/>
            <w:shd w:val="clear" w:color="auto" w:fill="auto"/>
            <w:textDirection w:val="btLr"/>
          </w:tcPr>
          <w:p w14:paraId="2FC13DF3">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Strongly Disagree</w:t>
            </w:r>
          </w:p>
        </w:tc>
        <w:tc>
          <w:tcPr>
            <w:tcW w:w="720" w:type="dxa"/>
            <w:shd w:val="clear" w:color="auto" w:fill="auto"/>
            <w:textDirection w:val="btLr"/>
          </w:tcPr>
          <w:p w14:paraId="46A13EF3">
            <w:pPr>
              <w:pageBreakBefore w:val="0"/>
              <w:kinsoku/>
              <w:wordWrap/>
              <w:overflowPunct/>
              <w:topLinePunct w:val="0"/>
              <w:bidi w:val="0"/>
              <w:snapToGrid/>
              <w:spacing w:beforeAutospacing="0" w:after="0" w:afterAutospacing="0" w:line="360" w:lineRule="auto"/>
              <w:ind w:left="113" w:right="113"/>
              <w:textAlignment w:val="auto"/>
              <w:rPr>
                <w:rFonts w:ascii="Times New Roman" w:hAnsi="Times New Roman" w:cs="Times New Roman"/>
                <w:b w:val="0"/>
                <w:bCs/>
                <w:sz w:val="24"/>
                <w:szCs w:val="24"/>
              </w:rPr>
            </w:pPr>
            <w:r>
              <w:rPr>
                <w:rFonts w:ascii="Times New Roman" w:hAnsi="Times New Roman" w:cs="Times New Roman"/>
                <w:b w:val="0"/>
                <w:bCs/>
                <w:sz w:val="24"/>
                <w:szCs w:val="24"/>
              </w:rPr>
              <w:t xml:space="preserve">Mean </w:t>
            </w:r>
          </w:p>
        </w:tc>
      </w:tr>
      <w:tr w14:paraId="6A07E04B">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6E4E6F86">
            <w:pPr>
              <w:pageBreakBefore w:val="0"/>
              <w:kinsoku/>
              <w:wordWrap/>
              <w:overflowPunct/>
              <w:topLinePunct w:val="0"/>
              <w:bidi w:val="0"/>
              <w:snapToGrid/>
              <w:spacing w:beforeAutospacing="0" w:after="0" w:afterAutospacing="0" w:line="360" w:lineRule="auto"/>
              <w:textAlignment w:val="auto"/>
              <w:rPr>
                <w:rFonts w:ascii="Arial" w:hAnsi="Arial" w:cs="Arial"/>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The perceived performance of the service is influenced by my preconceived notions</w:t>
            </w:r>
          </w:p>
        </w:tc>
        <w:tc>
          <w:tcPr>
            <w:tcW w:w="847" w:type="dxa"/>
            <w:shd w:val="clear" w:color="auto" w:fill="auto"/>
          </w:tcPr>
          <w:p w14:paraId="6BDB50A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540" w:type="dxa"/>
            <w:shd w:val="clear" w:color="auto" w:fill="auto"/>
          </w:tcPr>
          <w:p w14:paraId="3B765AD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10</w:t>
            </w:r>
          </w:p>
        </w:tc>
        <w:tc>
          <w:tcPr>
            <w:tcW w:w="521" w:type="dxa"/>
            <w:shd w:val="clear" w:color="auto" w:fill="auto"/>
          </w:tcPr>
          <w:p w14:paraId="5CAAE56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636" w:type="dxa"/>
            <w:shd w:val="clear" w:color="auto" w:fill="auto"/>
          </w:tcPr>
          <w:p w14:paraId="09B522A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9</w:t>
            </w:r>
          </w:p>
        </w:tc>
        <w:tc>
          <w:tcPr>
            <w:tcW w:w="733" w:type="dxa"/>
            <w:shd w:val="clear" w:color="auto" w:fill="auto"/>
          </w:tcPr>
          <w:p w14:paraId="7AA2B7CC">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720" w:type="dxa"/>
            <w:shd w:val="clear" w:color="auto" w:fill="auto"/>
          </w:tcPr>
          <w:p w14:paraId="725199D6">
            <w:pPr>
              <w:pageBreakBefore w:val="0"/>
              <w:kinsoku/>
              <w:wordWrap/>
              <w:overflowPunct/>
              <w:topLinePunct w:val="0"/>
              <w:bidi w:val="0"/>
              <w:snapToGrid/>
              <w:spacing w:beforeAutospacing="0" w:after="0" w:afterAutospacing="0" w:line="360" w:lineRule="auto"/>
              <w:textAlignment w:val="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3.3</w:t>
            </w:r>
          </w:p>
        </w:tc>
      </w:tr>
      <w:tr w14:paraId="4B4EFB8F">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4B92EB07">
            <w:pPr>
              <w:pageBreakBefore w:val="0"/>
              <w:kinsoku/>
              <w:wordWrap/>
              <w:overflowPunct/>
              <w:topLinePunct w:val="0"/>
              <w:bidi w:val="0"/>
              <w:snapToGrid/>
              <w:spacing w:beforeAutospacing="0" w:after="0" w:afterAutospacing="0" w:line="360" w:lineRule="auto"/>
              <w:textAlignment w:val="auto"/>
              <w:rPr>
                <w:rFonts w:ascii="Arial" w:hAnsi="Arial" w:cs="Arial"/>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The perceived performance of the service is influenced by performance of the service in the recent past</w:t>
            </w:r>
          </w:p>
        </w:tc>
        <w:tc>
          <w:tcPr>
            <w:tcW w:w="847" w:type="dxa"/>
            <w:shd w:val="clear" w:color="auto" w:fill="auto"/>
          </w:tcPr>
          <w:p w14:paraId="099B4800">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2</w:t>
            </w:r>
          </w:p>
        </w:tc>
        <w:tc>
          <w:tcPr>
            <w:tcW w:w="540" w:type="dxa"/>
            <w:shd w:val="clear" w:color="auto" w:fill="auto"/>
          </w:tcPr>
          <w:p w14:paraId="6A48C3FD">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11</w:t>
            </w:r>
          </w:p>
        </w:tc>
        <w:tc>
          <w:tcPr>
            <w:tcW w:w="521" w:type="dxa"/>
            <w:shd w:val="clear" w:color="auto" w:fill="auto"/>
          </w:tcPr>
          <w:p w14:paraId="77745327">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636" w:type="dxa"/>
            <w:shd w:val="clear" w:color="auto" w:fill="auto"/>
          </w:tcPr>
          <w:p w14:paraId="482E1315">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12</w:t>
            </w:r>
          </w:p>
        </w:tc>
        <w:tc>
          <w:tcPr>
            <w:tcW w:w="733" w:type="dxa"/>
            <w:shd w:val="clear" w:color="auto" w:fill="auto"/>
          </w:tcPr>
          <w:p w14:paraId="5F0FAA5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w:t>
            </w:r>
          </w:p>
        </w:tc>
        <w:tc>
          <w:tcPr>
            <w:tcW w:w="720" w:type="dxa"/>
            <w:shd w:val="clear" w:color="auto" w:fill="auto"/>
          </w:tcPr>
          <w:p w14:paraId="2D7371EA">
            <w:pPr>
              <w:pageBreakBefore w:val="0"/>
              <w:kinsoku/>
              <w:wordWrap/>
              <w:overflowPunct/>
              <w:topLinePunct w:val="0"/>
              <w:bidi w:val="0"/>
              <w:snapToGrid/>
              <w:spacing w:beforeAutospacing="0" w:after="0" w:afterAutospacing="0" w:line="360" w:lineRule="auto"/>
              <w:textAlignment w:val="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2.83</w:t>
            </w:r>
          </w:p>
        </w:tc>
      </w:tr>
      <w:tr w14:paraId="5AE15EAD">
        <w:tblPrEx>
          <w:tblBorders>
            <w:top w:val="single" w:color="666666" w:themeColor="text1" w:themeTint="99" w:sz="4" w:space="0"/>
            <w:left w:val="none" w:color="auto" w:sz="0" w:space="0"/>
            <w:bottom w:val="single" w:color="666666" w:themeColor="text1" w:themeTint="99" w:sz="4" w:space="0"/>
            <w:right w:val="none" w:color="auto" w:sz="0" w:space="0"/>
            <w:insideH w:val="single" w:color="666666" w:themeColor="text1" w:themeTint="99" w:sz="4" w:space="0"/>
            <w:insideV w:val="none" w:color="auto" w:sz="0" w:space="0"/>
          </w:tblBorders>
          <w:tblCellMar>
            <w:top w:w="0" w:type="dxa"/>
            <w:left w:w="108" w:type="dxa"/>
            <w:bottom w:w="0" w:type="dxa"/>
            <w:right w:w="108" w:type="dxa"/>
          </w:tblCellMar>
        </w:tblPrEx>
        <w:tc>
          <w:tcPr>
            <w:tcW w:w="4728" w:type="dxa"/>
            <w:shd w:val="clear" w:color="auto" w:fill="auto"/>
          </w:tcPr>
          <w:p w14:paraId="4B78CE94">
            <w:pPr>
              <w:pageBreakBefore w:val="0"/>
              <w:kinsoku/>
              <w:wordWrap/>
              <w:overflowPunct/>
              <w:topLinePunct w:val="0"/>
              <w:bidi w:val="0"/>
              <w:snapToGrid/>
              <w:spacing w:beforeAutospacing="0" w:after="0" w:afterAutospacing="0" w:line="360" w:lineRule="auto"/>
              <w:textAlignment w:val="auto"/>
              <w:rPr>
                <w:rFonts w:ascii="Arial" w:hAnsi="Arial" w:cs="Arial"/>
                <w:b w:val="0"/>
                <w:bCs/>
                <w:color w:val="000000" w:themeColor="text1"/>
                <w:sz w:val="24"/>
                <w:szCs w:val="24"/>
                <w14:textFill>
                  <w14:solidFill>
                    <w14:schemeClr w14:val="tx1"/>
                  </w14:solidFill>
                </w14:textFill>
              </w:rPr>
            </w:pPr>
            <w:r>
              <w:rPr>
                <w:rFonts w:ascii="Times New Roman" w:hAnsi="Times New Roman" w:cs="Times New Roman"/>
                <w:b w:val="0"/>
                <w:bCs/>
                <w:sz w:val="24"/>
                <w:szCs w:val="24"/>
              </w:rPr>
              <w:t>It takes short period of time to be served by the workers</w:t>
            </w:r>
          </w:p>
        </w:tc>
        <w:tc>
          <w:tcPr>
            <w:tcW w:w="847" w:type="dxa"/>
            <w:shd w:val="clear" w:color="auto" w:fill="auto"/>
          </w:tcPr>
          <w:p w14:paraId="52968CF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w:t>
            </w:r>
          </w:p>
        </w:tc>
        <w:tc>
          <w:tcPr>
            <w:tcW w:w="540" w:type="dxa"/>
            <w:shd w:val="clear" w:color="auto" w:fill="auto"/>
          </w:tcPr>
          <w:p w14:paraId="5C7BDFB3">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4</w:t>
            </w:r>
          </w:p>
        </w:tc>
        <w:tc>
          <w:tcPr>
            <w:tcW w:w="521" w:type="dxa"/>
            <w:shd w:val="clear" w:color="auto" w:fill="auto"/>
          </w:tcPr>
          <w:p w14:paraId="20A1BA1B">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5</w:t>
            </w:r>
          </w:p>
        </w:tc>
        <w:tc>
          <w:tcPr>
            <w:tcW w:w="636" w:type="dxa"/>
            <w:shd w:val="clear" w:color="auto" w:fill="auto"/>
          </w:tcPr>
          <w:p w14:paraId="4F186A89">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13</w:t>
            </w:r>
          </w:p>
        </w:tc>
        <w:tc>
          <w:tcPr>
            <w:tcW w:w="733" w:type="dxa"/>
            <w:shd w:val="clear" w:color="auto" w:fill="auto"/>
          </w:tcPr>
          <w:p w14:paraId="03669B36">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7</w:t>
            </w:r>
          </w:p>
        </w:tc>
        <w:tc>
          <w:tcPr>
            <w:tcW w:w="720" w:type="dxa"/>
            <w:shd w:val="clear" w:color="auto" w:fill="auto"/>
          </w:tcPr>
          <w:p w14:paraId="4B5F17FA">
            <w:pPr>
              <w:pageBreakBefore w:val="0"/>
              <w:kinsoku/>
              <w:wordWrap/>
              <w:overflowPunct/>
              <w:topLinePunct w:val="0"/>
              <w:bidi w:val="0"/>
              <w:snapToGrid/>
              <w:spacing w:beforeAutospacing="0" w:after="0" w:afterAutospacing="0" w:line="360" w:lineRule="auto"/>
              <w:textAlignment w:val="auto"/>
              <w:rPr>
                <w:rFonts w:ascii="Arial" w:hAnsi="Arial" w:cs="Arial"/>
                <w:color w:val="000000" w:themeColor="text1"/>
                <w:sz w:val="24"/>
                <w:szCs w:val="24"/>
                <w14:textFill>
                  <w14:solidFill>
                    <w14:schemeClr w14:val="tx1"/>
                  </w14:solidFill>
                </w14:textFill>
              </w:rPr>
            </w:pPr>
            <w:r>
              <w:rPr>
                <w:rFonts w:ascii="Arial" w:hAnsi="Arial" w:cs="Arial"/>
                <w:color w:val="000000" w:themeColor="text1"/>
                <w:sz w:val="24"/>
                <w:szCs w:val="24"/>
                <w14:textFill>
                  <w14:solidFill>
                    <w14:schemeClr w14:val="tx1"/>
                  </w14:solidFill>
                </w14:textFill>
              </w:rPr>
              <w:t>2.3</w:t>
            </w:r>
          </w:p>
        </w:tc>
      </w:tr>
    </w:tbl>
    <w:p w14:paraId="4327A9A2">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t>Source: Field data, 2024</w:t>
      </w:r>
    </w:p>
    <w:p w14:paraId="32738A5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2E1F936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findings from Table 4.8 illustrate how perceived performance influences customer satisfaction at CRDB Bank's Temeke branch, with varying mean scores reflecting different levels of agreement among respondents. The statement "The perceived performance of the service is influenced by my preconceived notions" achieved a mean score of 3.3, indicating that customers generally agree that their prior beliefs significantly shape their assessment of the bank's performance. With a total of 15 respondents expressing agreement or strong agreement, it highlights the importance of preconceived notions in determining customer satisfaction. This suggests that customers’ expectations, shaped by previous experiences or external influences, play a crucial role in how they perceive the quality of service provided by the bank.</w:t>
      </w:r>
    </w:p>
    <w:p w14:paraId="2D928FB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4E33BAD0">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Conversely, the statement "The perceived performance of the service is influenced by the performance of the service in the recent past" received a lower mean score of 2.83, indicating a more neutral stance among respondents. This suggests that while past performance may have some influence, it is not as significant as the preconceived notions that customers hold. Additionally, the statement "It takes a short period of time to be served by the workers" garnered a mean score of 2.3, pointing to a general dissatisfaction with the speed of service. With 20 respondents indicating disagreement or strong disagreement, this finding suggests that customers may feel that wait times are longer than acceptable, which can detrimentally affect their overall satisfaction. Collectively, these results emphasize the need for CRDB Bank to address service efficiency while also managing customer expectations to enhance perceived performance and satisfaction.</w:t>
      </w:r>
    </w:p>
    <w:p w14:paraId="5E8A71B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2D898BE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I usually base my satisfaction on how quickly and efficiently my transactions are handled. When I go to the bank and experience long waiting times or complicated procedures, it leaves me feeling frustrated. However, when I receive prompt service, it significantly enhances my perception of the bank's performance and my overall satisfaction</w:t>
      </w:r>
    </w:p>
    <w:p w14:paraId="55732878">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3449B865">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The quality of the staff’s service is a huge factor for me. If I encounter knowledgeable and friendly staff who address my concerns effectively, I feel valued as a customer. On the other hand, if the staff seem untrained or indifferent, it negatively impacts my perception of CRDB Bank’s performance and my satisfaction level.</w:t>
      </w:r>
    </w:p>
    <w:p w14:paraId="2FAB6E80">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51C3BF3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I often assess the bank's performance based on their digital services. When I can easily access my accounts online, make transfers, or apply for loans through their app without issues, it greatly boosts my satisfaction. However, if the app is often down or difficult to navigate, it diminishes my overall experience with the bank</w:t>
      </w:r>
    </w:p>
    <w:p w14:paraId="30B88B99">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67F45A7C">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Communication plays a key role in my perception of the bank's performance. If CRDB Bank keeps me informed about new services, updates, or issues with my accounts, I feel more satisfied with my banking experience. Conversely, if I have to chase after information or feel left in the dark, it negatively impacts how I view their service.</w:t>
      </w:r>
    </w:p>
    <w:p w14:paraId="76FD821A">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025B9812">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r>
        <w:rPr>
          <w:rFonts w:ascii="Times New Roman" w:hAnsi="Times New Roman" w:cs="Times New Roman"/>
          <w:i/>
          <w:sz w:val="24"/>
        </w:rPr>
        <w:t>As a long-term customer, I've come to expect a certain level of personalized service. When the staff remember my name and previous interactions, it makes me feel appreciated and satisfied. However, if I notice a lack of continuity or inconsistency in the service I receive, it can lead me to question the bank’s commitment to customer satisfaction</w:t>
      </w:r>
    </w:p>
    <w:p w14:paraId="261A1977">
      <w:pPr>
        <w:pageBreakBefore w:val="0"/>
        <w:kinsoku/>
        <w:wordWrap/>
        <w:overflowPunct/>
        <w:topLinePunct w:val="0"/>
        <w:bidi w:val="0"/>
        <w:snapToGrid/>
        <w:spacing w:beforeAutospacing="0" w:after="0" w:afterAutospacing="0" w:line="360" w:lineRule="auto"/>
        <w:ind w:left="1440"/>
        <w:jc w:val="both"/>
        <w:textAlignment w:val="auto"/>
        <w:rPr>
          <w:rFonts w:ascii="Times New Roman" w:hAnsi="Times New Roman" w:cs="Times New Roman"/>
          <w:i/>
          <w:sz w:val="24"/>
        </w:rPr>
      </w:pPr>
    </w:p>
    <w:p w14:paraId="63EDD98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The findings from the questionnaires and interviews underscore the complex relationship between perceived performance and customer satisfaction at CRDB Bank's Temeke branch. Notably, the mean score of 3.3 for the statement regarding the influence of preconceived notions on perceived performance indicates a strong agreement among customers that their prior beliefs significantly shape their assessments of the bank’s service quality. This suggests that customers come to the bank with expectations formed by previous experiences and external information, which critically inform their satisfaction levels. In contrast, the lower mean score of 2.83 for the influence of past performance on current satisfaction reveals a more neutral stance, indicating that while customers recognize its importance, it may not hold as much weight as their preconceived notions. Furthermore, the concerning score of 2.3 regarding service speed reflects widespread dissatisfaction with wait times, suggesting that many customers experience frustration due to perceived inefficiencies. This is compounded by feedback indicating that effective staff service, seamless digital experiences, and clear communication are vital for enhancing perceived performance. Overall, these insights highlight the necessity for CRDB Bank to focus on improving service efficiency and managing customer expectations to foster greater satisfaction. </w:t>
      </w:r>
    </w:p>
    <w:p w14:paraId="2E039A2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2ECC88F6">
      <w:pPr>
        <w:pStyle w:val="8"/>
        <w:pageBreakBefore w:val="0"/>
        <w:kinsoku/>
        <w:wordWrap/>
        <w:overflowPunct/>
        <w:topLinePunct w:val="0"/>
        <w:bidi w:val="0"/>
        <w:snapToGrid/>
        <w:spacing w:beforeAutospacing="0" w:after="0" w:afterAutospacing="0" w:line="360" w:lineRule="auto"/>
        <w:textAlignment w:val="auto"/>
        <w:rPr>
          <w:rFonts w:hint="default" w:ascii="Times New Roman" w:hAnsi="Times New Roman" w:cs="Times New Roman"/>
          <w:b w:val="0"/>
          <w:i/>
          <w:color w:val="000000"/>
          <w:szCs w:val="24"/>
        </w:rPr>
      </w:pPr>
      <w:bookmarkStart w:id="80" w:name="_Toc50830720"/>
      <w:bookmarkStart w:id="81" w:name="_Toc50830627"/>
      <w:bookmarkStart w:id="82" w:name="_Toc30888"/>
      <w:bookmarkStart w:id="83" w:name="_Toc146023910"/>
      <w:r>
        <w:rPr>
          <w:rFonts w:hint="default" w:ascii="Times New Roman" w:hAnsi="Times New Roman" w:cs="Times New Roman"/>
          <w:color w:val="000000"/>
          <w:szCs w:val="24"/>
        </w:rPr>
        <w:t>Table 4.15: Correlation analysis</w:t>
      </w:r>
      <w:bookmarkEnd w:id="80"/>
      <w:bookmarkEnd w:id="81"/>
      <w:bookmarkEnd w:id="82"/>
      <w:bookmarkEnd w:id="83"/>
      <w:r>
        <w:rPr>
          <w:rFonts w:hint="default" w:ascii="Times New Roman" w:hAnsi="Times New Roman" w:cs="Times New Roman"/>
          <w:color w:val="000000"/>
          <w:szCs w:val="24"/>
        </w:rPr>
        <w:t xml:space="preserve"> </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063"/>
        <w:gridCol w:w="1790"/>
        <w:gridCol w:w="1453"/>
        <w:gridCol w:w="1774"/>
      </w:tblGrid>
      <w:tr w14:paraId="3C074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3" w:type="dxa"/>
            <w:shd w:val="clear" w:color="auto" w:fill="auto"/>
          </w:tcPr>
          <w:p w14:paraId="57473F06">
            <w:pPr>
              <w:pStyle w:val="17"/>
              <w:pageBreakBefore w:val="0"/>
              <w:kinsoku/>
              <w:wordWrap/>
              <w:overflowPunct/>
              <w:topLinePunct w:val="0"/>
              <w:bidi w:val="0"/>
              <w:snapToGrid/>
              <w:spacing w:beforeAutospacing="0" w:after="0" w:afterAutospacing="0" w:line="360" w:lineRule="auto"/>
              <w:jc w:val="both"/>
              <w:textAlignment w:val="auto"/>
              <w:rPr>
                <w:rFonts w:ascii="Arial Narrow" w:hAnsi="Arial Narrow"/>
                <w:color w:val="000000"/>
                <w:sz w:val="24"/>
                <w:szCs w:val="24"/>
              </w:rPr>
            </w:pPr>
          </w:p>
        </w:tc>
        <w:tc>
          <w:tcPr>
            <w:tcW w:w="1790" w:type="dxa"/>
            <w:shd w:val="clear" w:color="auto" w:fill="auto"/>
          </w:tcPr>
          <w:p w14:paraId="0C35F5FF">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rPr>
            </w:pPr>
            <w:r>
              <w:rPr>
                <w:rFonts w:ascii="Times New Roman" w:hAnsi="Times New Roman" w:cs="Times New Roman"/>
                <w:sz w:val="24"/>
              </w:rPr>
              <w:t>Disconfirmation of belief</w:t>
            </w:r>
          </w:p>
        </w:tc>
        <w:tc>
          <w:tcPr>
            <w:tcW w:w="1453" w:type="dxa"/>
            <w:shd w:val="clear" w:color="auto" w:fill="auto"/>
          </w:tcPr>
          <w:p w14:paraId="63A0D85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rPr>
            </w:pPr>
            <w:r>
              <w:rPr>
                <w:rFonts w:ascii="Times New Roman" w:hAnsi="Times New Roman" w:cs="Times New Roman"/>
                <w:sz w:val="24"/>
              </w:rPr>
              <w:t xml:space="preserve">Expectation </w:t>
            </w:r>
          </w:p>
        </w:tc>
        <w:tc>
          <w:tcPr>
            <w:tcW w:w="1774" w:type="dxa"/>
            <w:shd w:val="clear" w:color="auto" w:fill="auto"/>
          </w:tcPr>
          <w:p w14:paraId="6704047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rPr>
            </w:pPr>
            <w:r>
              <w:rPr>
                <w:rFonts w:ascii="Times New Roman" w:hAnsi="Times New Roman" w:cs="Times New Roman"/>
                <w:sz w:val="24"/>
              </w:rPr>
              <w:t>Perceived performance</w:t>
            </w:r>
          </w:p>
        </w:tc>
      </w:tr>
      <w:tr w14:paraId="6BA3E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3" w:type="dxa"/>
            <w:shd w:val="clear" w:color="auto" w:fill="auto"/>
          </w:tcPr>
          <w:p w14:paraId="6D3249A1">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rPr>
            </w:pPr>
            <w:r>
              <w:rPr>
                <w:rFonts w:ascii="Times New Roman" w:hAnsi="Times New Roman" w:cs="Times New Roman"/>
                <w:sz w:val="24"/>
              </w:rPr>
              <w:t>Disconfirmation of belief</w:t>
            </w:r>
          </w:p>
        </w:tc>
        <w:tc>
          <w:tcPr>
            <w:tcW w:w="1790" w:type="dxa"/>
            <w:shd w:val="clear" w:color="auto" w:fill="auto"/>
          </w:tcPr>
          <w:p w14:paraId="2B89D63F">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r>
              <w:rPr>
                <w:rFonts w:ascii="Arial Narrow" w:hAnsi="Arial Narrow"/>
                <w:color w:val="000000"/>
                <w:sz w:val="24"/>
                <w:szCs w:val="24"/>
              </w:rPr>
              <w:t>1</w:t>
            </w:r>
          </w:p>
        </w:tc>
        <w:tc>
          <w:tcPr>
            <w:tcW w:w="1453" w:type="dxa"/>
            <w:shd w:val="clear" w:color="auto" w:fill="auto"/>
          </w:tcPr>
          <w:p w14:paraId="555DABC6">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p>
        </w:tc>
        <w:tc>
          <w:tcPr>
            <w:tcW w:w="1774" w:type="dxa"/>
            <w:shd w:val="clear" w:color="auto" w:fill="auto"/>
          </w:tcPr>
          <w:p w14:paraId="29FE8B57">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p>
        </w:tc>
      </w:tr>
      <w:tr w14:paraId="57377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3" w:type="dxa"/>
            <w:shd w:val="clear" w:color="auto" w:fill="auto"/>
          </w:tcPr>
          <w:p w14:paraId="606FC71A">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rPr>
            </w:pPr>
            <w:r>
              <w:rPr>
                <w:rFonts w:ascii="Times New Roman" w:hAnsi="Times New Roman" w:cs="Times New Roman"/>
                <w:sz w:val="24"/>
              </w:rPr>
              <w:t xml:space="preserve">Expectation </w:t>
            </w:r>
          </w:p>
        </w:tc>
        <w:tc>
          <w:tcPr>
            <w:tcW w:w="1790" w:type="dxa"/>
            <w:shd w:val="clear" w:color="auto" w:fill="auto"/>
          </w:tcPr>
          <w:p w14:paraId="303515B6">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r>
              <w:rPr>
                <w:rFonts w:ascii="Arial Narrow" w:hAnsi="Arial Narrow"/>
              </w:rPr>
              <w:t>0.601** (0.000)</w:t>
            </w:r>
          </w:p>
        </w:tc>
        <w:tc>
          <w:tcPr>
            <w:tcW w:w="1453" w:type="dxa"/>
            <w:shd w:val="clear" w:color="auto" w:fill="auto"/>
          </w:tcPr>
          <w:p w14:paraId="491F587C">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r>
              <w:rPr>
                <w:rFonts w:ascii="Arial Narrow" w:hAnsi="Arial Narrow"/>
                <w:color w:val="000000"/>
                <w:sz w:val="24"/>
                <w:szCs w:val="24"/>
              </w:rPr>
              <w:t>1</w:t>
            </w:r>
          </w:p>
        </w:tc>
        <w:tc>
          <w:tcPr>
            <w:tcW w:w="1774" w:type="dxa"/>
            <w:shd w:val="clear" w:color="auto" w:fill="auto"/>
          </w:tcPr>
          <w:p w14:paraId="6EEFA8FF">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p>
        </w:tc>
      </w:tr>
      <w:tr w14:paraId="5C037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63" w:type="dxa"/>
            <w:shd w:val="clear" w:color="auto" w:fill="auto"/>
          </w:tcPr>
          <w:p w14:paraId="3742ACD4">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sz w:val="24"/>
              </w:rPr>
            </w:pPr>
            <w:r>
              <w:rPr>
                <w:rFonts w:ascii="Times New Roman" w:hAnsi="Times New Roman" w:cs="Times New Roman"/>
                <w:sz w:val="24"/>
              </w:rPr>
              <w:t>Perceived performance</w:t>
            </w:r>
          </w:p>
        </w:tc>
        <w:tc>
          <w:tcPr>
            <w:tcW w:w="1790" w:type="dxa"/>
            <w:shd w:val="clear" w:color="auto" w:fill="auto"/>
          </w:tcPr>
          <w:p w14:paraId="76D5642A">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r>
              <w:rPr>
                <w:rFonts w:ascii="Arial Narrow" w:hAnsi="Arial Narrow"/>
              </w:rPr>
              <w:t>-0.259** (0.009)</w:t>
            </w:r>
          </w:p>
        </w:tc>
        <w:tc>
          <w:tcPr>
            <w:tcW w:w="1453" w:type="dxa"/>
            <w:shd w:val="clear" w:color="auto" w:fill="auto"/>
          </w:tcPr>
          <w:p w14:paraId="78EC2014">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rPr>
            </w:pPr>
            <w:r>
              <w:rPr>
                <w:rFonts w:ascii="Arial Narrow" w:hAnsi="Arial Narrow"/>
              </w:rPr>
              <w:t>-0.228*</w:t>
            </w:r>
          </w:p>
          <w:p w14:paraId="6C92581E">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r>
              <w:rPr>
                <w:rFonts w:ascii="Arial Narrow" w:hAnsi="Arial Narrow"/>
              </w:rPr>
              <w:t>(0.021)</w:t>
            </w:r>
          </w:p>
        </w:tc>
        <w:tc>
          <w:tcPr>
            <w:tcW w:w="1774" w:type="dxa"/>
            <w:shd w:val="clear" w:color="auto" w:fill="auto"/>
          </w:tcPr>
          <w:p w14:paraId="5CEF55EA">
            <w:pPr>
              <w:pStyle w:val="17"/>
              <w:pageBreakBefore w:val="0"/>
              <w:kinsoku/>
              <w:wordWrap/>
              <w:overflowPunct/>
              <w:topLinePunct w:val="0"/>
              <w:bidi w:val="0"/>
              <w:snapToGrid/>
              <w:spacing w:beforeAutospacing="0" w:after="0" w:afterAutospacing="0" w:line="360" w:lineRule="auto"/>
              <w:jc w:val="center"/>
              <w:textAlignment w:val="auto"/>
              <w:rPr>
                <w:rFonts w:ascii="Arial Narrow" w:hAnsi="Arial Narrow"/>
                <w:color w:val="000000"/>
                <w:sz w:val="24"/>
                <w:szCs w:val="24"/>
              </w:rPr>
            </w:pPr>
            <w:r>
              <w:rPr>
                <w:rFonts w:ascii="Arial Narrow" w:hAnsi="Arial Narrow"/>
                <w:color w:val="000000"/>
                <w:sz w:val="24"/>
                <w:szCs w:val="24"/>
              </w:rPr>
              <w:t>1</w:t>
            </w:r>
          </w:p>
        </w:tc>
      </w:tr>
    </w:tbl>
    <w:p w14:paraId="219C6E00">
      <w:pPr>
        <w:pStyle w:val="17"/>
        <w:pageBreakBefore w:val="0"/>
        <w:kinsoku/>
        <w:wordWrap/>
        <w:overflowPunct/>
        <w:topLinePunct w:val="0"/>
        <w:bidi w:val="0"/>
        <w:snapToGrid/>
        <w:spacing w:beforeAutospacing="0" w:after="0" w:afterAutospacing="0" w:line="360" w:lineRule="auto"/>
        <w:jc w:val="both"/>
        <w:textAlignment w:val="auto"/>
        <w:rPr>
          <w:rFonts w:hint="default" w:ascii="Times New Roman" w:hAnsi="Times New Roman" w:cs="Times New Roman"/>
          <w:sz w:val="24"/>
        </w:rPr>
      </w:pPr>
      <w:r>
        <w:rPr>
          <w:rFonts w:hint="default" w:ascii="Times New Roman" w:hAnsi="Times New Roman" w:cs="Times New Roman"/>
          <w:sz w:val="24"/>
        </w:rPr>
        <w:t>Correlation is significant at the 0.01 level</w:t>
      </w:r>
    </w:p>
    <w:p w14:paraId="3985A214">
      <w:pPr>
        <w:pStyle w:val="17"/>
        <w:pageBreakBefore w:val="0"/>
        <w:kinsoku/>
        <w:wordWrap/>
        <w:overflowPunct/>
        <w:topLinePunct w:val="0"/>
        <w:bidi w:val="0"/>
        <w:snapToGrid/>
        <w:spacing w:beforeAutospacing="0" w:after="0" w:afterAutospacing="0" w:line="360" w:lineRule="auto"/>
        <w:jc w:val="both"/>
        <w:textAlignment w:val="auto"/>
        <w:rPr>
          <w:rFonts w:hint="default" w:ascii="Times New Roman" w:hAnsi="Times New Roman" w:cs="Times New Roman"/>
          <w:sz w:val="24"/>
        </w:rPr>
      </w:pPr>
    </w:p>
    <w:p w14:paraId="7EF0F04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 xml:space="preserve">The correlation analysis presented in Table 4.15 provides insights into the relationships among disconfirmation of belief, expectation, and perceived performance, focusing on how these factors influence overall customer satisfaction in financial institutions. Each specific objective can be examined through the correlations between these variable: </w:t>
      </w:r>
    </w:p>
    <w:p w14:paraId="682F158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788BA7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Style w:val="12"/>
          <w:rFonts w:ascii="Times New Roman" w:hAnsi="Times New Roman" w:cs="Times New Roman"/>
          <w:sz w:val="24"/>
          <w:szCs w:val="24"/>
        </w:rPr>
        <w:t xml:space="preserve">Influence of Disconfirmation of Belief on Customer Satisfaction: </w:t>
      </w:r>
      <w:r>
        <w:rPr>
          <w:rFonts w:ascii="Times New Roman" w:hAnsi="Times New Roman" w:cs="Times New Roman"/>
          <w:sz w:val="24"/>
          <w:szCs w:val="24"/>
        </w:rPr>
        <w:br w:type="textWrapping"/>
      </w:r>
      <w:r>
        <w:rPr>
          <w:rFonts w:ascii="Times New Roman" w:hAnsi="Times New Roman" w:cs="Times New Roman"/>
          <w:sz w:val="24"/>
          <w:szCs w:val="24"/>
        </w:rPr>
        <w:t>Disconfirmation of belief has a positive and significant correlation with expectation (r = 0.601, p &lt; 0.01). This suggests that as customers' expectations are met or exceeded, disconfirmation of belief increases, indicating greater alignment with anticipated service quality. This alignment likely leads to improved satisfaction as customers perceive their expectations as fulfilled. However, disconfirmation of belief has a negative correlation with perceived performance (r = -0.259, p &lt; 0.01), which might imply that if performance is perceived as inadequate, it could weaken the positive effect of expectation alignment on satisfaction. This complex relationship underscores the importance of managing customer beliefs and perceptions regarding service quality to enhance satisfaction</w:t>
      </w:r>
    </w:p>
    <w:p w14:paraId="59ED856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6D4393B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Style w:val="12"/>
          <w:rFonts w:ascii="Times New Roman" w:hAnsi="Times New Roman" w:cs="Times New Roman"/>
          <w:sz w:val="24"/>
          <w:szCs w:val="24"/>
        </w:rPr>
        <w:t xml:space="preserve">Influence of Expectation on Customer Satisfaction: </w:t>
      </w:r>
      <w:r>
        <w:rPr>
          <w:rFonts w:ascii="Times New Roman" w:hAnsi="Times New Roman" w:cs="Times New Roman"/>
          <w:sz w:val="24"/>
          <w:szCs w:val="24"/>
        </w:rPr>
        <w:t xml:space="preserve"> Expectation shows a strong positive correlation with disconfirmation of belief (r = 0.601, p &lt; 0.01), indicating that higher expectations can lead to higher disconfirmation, which, if positive, aligns with increased customer satisfaction. The relationship with perceived performance is negative but significant (r = -0.228, p &lt; 0.05), suggesting that higher expectations might make customers more sensitive to perceived shortcomings in performance. Financial institutions may need to carefully manage customer expectations, ensuring they are realistic to prevent dissatisfaction due to unmet expectations</w:t>
      </w:r>
    </w:p>
    <w:p w14:paraId="7E02D46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1CFE291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Style w:val="12"/>
          <w:rFonts w:ascii="Times New Roman" w:hAnsi="Times New Roman" w:cs="Times New Roman"/>
          <w:sz w:val="24"/>
          <w:szCs w:val="24"/>
        </w:rPr>
        <w:t>Influence of Perceived Performance on Customer Satisfaction</w:t>
      </w:r>
      <w:r>
        <w:rPr>
          <w:rFonts w:ascii="Times New Roman" w:hAnsi="Times New Roman" w:cs="Times New Roman"/>
          <w:sz w:val="24"/>
          <w:szCs w:val="24"/>
        </w:rPr>
        <w:t>: Perceived performance has a negative correlation with both disconfirmation of belief (r = -0.259, p &lt; 0.01) and expectation (r = -0.228, p &lt; 0.05). This negative relationship suggests that higher perceived performance may sometimes contradict pre-existing beliefs or expectations, possibly because customers might adjust their expectations down when they experience actual service delivery. Alternatively, customers may set expectations higher than the institution’s performance levels, leading to a perceived shortfall. This underscores the role of managing both performance delivery and expectation setting in maintaining satisfaction levels.</w:t>
      </w:r>
    </w:p>
    <w:p w14:paraId="419454C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0579C30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8"/>
          <w:szCs w:val="24"/>
        </w:rPr>
      </w:pPr>
      <w:r>
        <w:rPr>
          <w:rFonts w:ascii="Times New Roman" w:hAnsi="Times New Roman" w:cs="Times New Roman"/>
          <w:sz w:val="24"/>
        </w:rPr>
        <w:t xml:space="preserve">In summary, the correlation analysis highlights the interconnected roles of disconfirmation of belief, expectation, and perceived performance in shaping customer satisfaction within financial institutions. Disconfirmation of belief, positively linked to expectation, suggests that when customer expectations are met or exceeded, satisfaction is likely to increase as customers perceive the service quality aligns with their anticipated standards. However, the negative correlation between disconfirmation of belief and perceived performance points to the complexity of aligning perceptions with actual service outcomes. Similarly, expectation has a strong positive correlation with disconfirmation of belief but a negative correlation with perceived performance, implying that unmet high expectations may lead to dissatisfaction. Lastly, perceived performance, which shows a negative correlation with both disconfirmation and expectation, emphasizes the need for financial institutions to balance performance delivery with realistic expectation management. Together, these findings underscore the importance of aligning customers’ beliefs, expectations, and experiences to maintain and enhance overall customer satisfaction in financial services. </w:t>
      </w:r>
    </w:p>
    <w:p w14:paraId="47F0472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28B2EB6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i/>
          <w:sz w:val="24"/>
          <w:szCs w:val="24"/>
        </w:rPr>
      </w:pPr>
      <w:r>
        <w:rPr>
          <w:rFonts w:ascii="Times New Roman" w:hAnsi="Times New Roman" w:cs="Times New Roman"/>
          <w:b/>
          <w:i/>
          <w:color w:val="000000" w:themeColor="text1"/>
          <w:sz w:val="28"/>
          <w:szCs w:val="24"/>
          <w14:textFill>
            <w14:solidFill>
              <w14:schemeClr w14:val="tx1"/>
            </w14:solidFill>
          </w14:textFill>
        </w:rPr>
        <w:br w:type="page"/>
      </w:r>
    </w:p>
    <w:p w14:paraId="45D61525">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84" w:name="_Toc17972"/>
      <w:r>
        <w:rPr>
          <w:b/>
        </w:rPr>
        <w:t>CHAPTER FIVE</w:t>
      </w:r>
      <w:bookmarkEnd w:id="84"/>
    </w:p>
    <w:p w14:paraId="4C0E8F0B">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85" w:name="_Toc19594"/>
      <w:r>
        <w:rPr>
          <w:b/>
        </w:rPr>
        <w:t>CONCLUSION AND RECOMMENDATIONS</w:t>
      </w:r>
      <w:bookmarkEnd w:id="85"/>
    </w:p>
    <w:p w14:paraId="272A7539"/>
    <w:p w14:paraId="6743698C">
      <w:pPr>
        <w:pStyle w:val="2"/>
        <w:pageBreakBefore w:val="0"/>
        <w:kinsoku/>
        <w:wordWrap/>
        <w:overflowPunct/>
        <w:topLinePunct w:val="0"/>
        <w:bidi w:val="0"/>
        <w:snapToGrid/>
        <w:spacing w:before="0" w:beforeAutospacing="0" w:after="0" w:afterAutospacing="0" w:line="360" w:lineRule="auto"/>
        <w:textAlignment w:val="auto"/>
        <w:rPr>
          <w:b/>
        </w:rPr>
      </w:pPr>
      <w:bookmarkStart w:id="86" w:name="_Toc2169"/>
      <w:r>
        <w:rPr>
          <w:b/>
        </w:rPr>
        <w:t>5.0 Chapter overview</w:t>
      </w:r>
      <w:bookmarkEnd w:id="86"/>
    </w:p>
    <w:p w14:paraId="45C8DF6E">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This chapter comprises of the summary of the study, conclusion based on research specific objectives, policy implications, and areas for further studies. </w:t>
      </w:r>
    </w:p>
    <w:p w14:paraId="7016167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4357356B">
      <w:pPr>
        <w:pStyle w:val="2"/>
        <w:pageBreakBefore w:val="0"/>
        <w:kinsoku/>
        <w:wordWrap/>
        <w:overflowPunct/>
        <w:topLinePunct w:val="0"/>
        <w:bidi w:val="0"/>
        <w:snapToGrid/>
        <w:spacing w:before="0" w:beforeAutospacing="0" w:after="0" w:afterAutospacing="0" w:line="360" w:lineRule="auto"/>
        <w:textAlignment w:val="auto"/>
        <w:rPr>
          <w:b/>
        </w:rPr>
      </w:pPr>
      <w:bookmarkStart w:id="87" w:name="_Toc8201"/>
      <w:r>
        <w:rPr>
          <w:b/>
        </w:rPr>
        <w:t>5.1 Summary</w:t>
      </w:r>
      <w:bookmarkEnd w:id="87"/>
    </w:p>
    <w:p w14:paraId="1C75438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study was interested to assess the</w:t>
      </w:r>
      <w:r>
        <w:rPr>
          <w:rFonts w:ascii="Times New Roman" w:hAnsi="Times New Roman" w:cs="Times New Roman"/>
          <w:b/>
          <w:color w:val="000000" w:themeColor="text1"/>
          <w:sz w:val="24"/>
          <w:szCs w:val="24"/>
          <w14:textFill>
            <w14:solidFill>
              <w14:schemeClr w14:val="tx1"/>
            </w14:solidFill>
          </w14:textFill>
        </w:rPr>
        <w:t xml:space="preserve"> </w:t>
      </w:r>
      <w:r>
        <w:rPr>
          <w:rFonts w:ascii="Times New Roman" w:hAnsi="Times New Roman" w:cs="Times New Roman"/>
          <w:color w:val="000000" w:themeColor="text1"/>
          <w:sz w:val="24"/>
          <w:szCs w:val="24"/>
          <w14:textFill>
            <w14:solidFill>
              <w14:schemeClr w14:val="tx1"/>
            </w14:solidFill>
          </w14:textFill>
        </w:rPr>
        <w:t>influence of disconfirmation of belief on customer satisfaction in financial institution. Specifically the study was interested to examine the influence of disconfirmation of belief on customer satisfaction in financial institution, to examine the influence of expectation on customer satisfaction in financial institution and examine the influence of perceived performance on customer satisfaction in financial institution.</w:t>
      </w:r>
    </w:p>
    <w:p w14:paraId="2723294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7561833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The analysis of survey data from CRDB Bank's Temeke branch provides valuable insights into customer satisfaction influenced by service quality and disconfirmation beliefs. The findings from Table 4.1 indicate a strong response rate of 85.7%, demonstrating active engagement from participants, with the majority visiting the bank weekly (56.7%) for their financial needs. This suggests that regular in-person banking services are crucial for customer satisfaction, highlighting the importance of maintaining high service quality during these visits. Such a robust participation rate not only enhances the reliability of the data but also underscores the relevance of the survey's focus on service quality, as it resonates with the customers' experiences and expectations.</w:t>
      </w:r>
    </w:p>
    <w:p w14:paraId="142E0E2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2BC7676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In terms of demographic representation, the gender distribution revealed a slight majority of female respondents (53.3%) compared to males (46.7%), as shown in Table 4.2. This balanced gender representation ensures that insights reflect the experiences and satisfaction levels of both male and female customers, particularly in a sector where service quality may be perceived differently based on gender. Additionally, the age distribution illustrated in Table 4.3 indicated a predominance of older respondents, with 63.3% aged 32 and above. This demographic trend suggests that older customers, who may have established relationships with the bank, hold specific expectations regarding service quality that differ from younger customers. Such diverse age representation can influence satisfaction outcomes and provides a comprehensive understanding of how service quality impacts customer perceptions across various age groups</w:t>
      </w:r>
    </w:p>
    <w:p w14:paraId="1361B779">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0F8C8317">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 xml:space="preserve">Examining the influence of disconfirmation of belief on customer satisfaction, the findings in Tables 4.5 to 4.7 reveal a gap between customer expectations and perceived service performance. Responses indicated that many customers are either neutral or dissatisfied with the level of service, reflecting negative disconfirmation beliefs that hinder overall satisfaction. Specifically, the mean scores suggest that respondents feel their needs are not adequately met and are hesitant to recommend the bank’s services. Moreover, while prior expectations significantly shape perceptions of service quality, the bank's ability to consistently meet availability expectations remains a challenge. Overall, the findings indicate that improving service delivery and aligning with customer expectations are critical for enhancing satisfaction levels and addressing disconfirmation beliefs at CRDB Bank’s Temeke branch. </w:t>
      </w:r>
    </w:p>
    <w:p w14:paraId="4615FFF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szCs w:val="24"/>
          <w14:textFill>
            <w14:solidFill>
              <w14:schemeClr w14:val="tx1"/>
            </w14:solidFill>
          </w14:textFill>
        </w:rPr>
      </w:pPr>
    </w:p>
    <w:p w14:paraId="61E5A63F">
      <w:pPr>
        <w:pStyle w:val="2"/>
        <w:pageBreakBefore w:val="0"/>
        <w:kinsoku/>
        <w:wordWrap/>
        <w:overflowPunct/>
        <w:topLinePunct w:val="0"/>
        <w:bidi w:val="0"/>
        <w:snapToGrid/>
        <w:spacing w:before="0" w:beforeAutospacing="0" w:after="0" w:afterAutospacing="0" w:line="360" w:lineRule="auto"/>
        <w:textAlignment w:val="auto"/>
        <w:rPr>
          <w:b/>
        </w:rPr>
      </w:pPr>
      <w:bookmarkStart w:id="88" w:name="_Toc3756"/>
      <w:r>
        <w:rPr>
          <w:b/>
        </w:rPr>
        <w:t>5.2 Conclusion</w:t>
      </w:r>
      <w:bookmarkEnd w:id="88"/>
      <w:r>
        <w:rPr>
          <w:b/>
        </w:rPr>
        <w:t xml:space="preserve"> </w:t>
      </w:r>
    </w:p>
    <w:p w14:paraId="2AD532D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In conclusion, the study reveals significant insights into the relationship between disconfirmation of belief and customer satisfaction in financial institutions, specifically focusing on CRDB Bank's Temeke branch. The findings highlight that customers often experience a gap between their expectations and the perceived performance of the bank's services. Many respondents indicated dissatisfaction with the service quality, which is further exacerbated by negative disconfirmation beliefs. This dissatisfaction poses challenges for the bank, as it affects customers' willingness to recommend its services and undermines overall customer loyalty. To address these issues, it is crucial for the bank to identify and rectify the areas of service delivery that fall short of customer expectations, thereby enhancing their overall experience.</w:t>
      </w:r>
    </w:p>
    <w:p w14:paraId="4D4608FC">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the study emphasizes the importance of understanding the demographic characteristics of the customer base to tailor service delivery effectively. With a predominance of older customers who may have different service expectations compared to younger clients, CRDB Bank must adopt strategies that cater to the diverse needs of its clientele. By actively working to bridge the gap between customer expectations and service performance, the bank can foster improved satisfaction levels. This approach not only enhances customer loyalty but also promotes positive word-of-mouth, which is vital for the bank's long-term success in a competitive financial landscape</w:t>
      </w:r>
    </w:p>
    <w:p w14:paraId="3DBAA9BB">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p>
    <w:p w14:paraId="4CF31D56">
      <w:pPr>
        <w:pStyle w:val="2"/>
        <w:pageBreakBefore w:val="0"/>
        <w:kinsoku/>
        <w:wordWrap/>
        <w:overflowPunct/>
        <w:topLinePunct w:val="0"/>
        <w:bidi w:val="0"/>
        <w:snapToGrid/>
        <w:spacing w:before="0" w:beforeAutospacing="0" w:after="0" w:afterAutospacing="0" w:line="360" w:lineRule="auto"/>
        <w:textAlignment w:val="auto"/>
        <w:rPr>
          <w:b/>
        </w:rPr>
      </w:pPr>
      <w:bookmarkStart w:id="89" w:name="_Toc7292"/>
      <w:r>
        <w:rPr>
          <w:b/>
        </w:rPr>
        <w:t>5.3 Recommendations</w:t>
      </w:r>
      <w:bookmarkEnd w:id="89"/>
    </w:p>
    <w:p w14:paraId="6D49F026">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government should review and strengthen regulations governing customer service standards in the banking sector. This includes implementing mandatory guidelines for service quality assessments and customer feedback mechanisms. By ensuring that financial institutions meet certain service quality benchmarks, customer satisfaction can be significantly improved, thereby fostering a more reliable banking environment</w:t>
      </w:r>
    </w:p>
    <w:p w14:paraId="58CE214F">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69174043">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CRDB Bank should develop comprehensive customer engagement strategies that focus on addressing the specific needs and expectations of its diverse clientele. This could involve personalized communication and feedback channels that allow customers to voice their concerns and suggestions. By actively involving customers in the service improvement process, the bank can better align its offerings with customer expectations and reduce disconfirmation beliefs</w:t>
      </w:r>
    </w:p>
    <w:p w14:paraId="5A5FA78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09D9925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banking industry should promote a culture centered on service excellence by providing continuous training and development for employees. Emphasizing the importance of customer service in performance evaluations will encourage staff to prioritize customer satisfaction. Additionally, industry-wide benchmarks for service quality can be established to ensure consistent performance across all institutions, enhancing overall customer trust in the banking sector</w:t>
      </w:r>
    </w:p>
    <w:p w14:paraId="2C382362">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6011E9E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Institute of Accountancy Arusha should integrate customer service training into its accounting and finance curriculum. Educating future banking professionals on the significance of customer satisfaction, service quality, and managing customer expectations will prepare them to meet the evolving demands of the banking industry. This will help create a workforce that is not only technically skilled but also customer-centric</w:t>
      </w:r>
    </w:p>
    <w:p w14:paraId="1D11DC8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There should be a collaborative effort between the government, financial institutions, and educational bodies like the Institute of Accountancy Arusha to conduct regular research on customer satisfaction trends in the banking sector. This collaboration can facilitate knowledge sharing and the development of targeted strategies that address gaps in service quality and customer expectations, ultimately enhancing overall customer satisfaction in the financial industry. </w:t>
      </w:r>
    </w:p>
    <w:p w14:paraId="408BEFD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0A766AD6">
      <w:pPr>
        <w:pStyle w:val="2"/>
        <w:pageBreakBefore w:val="0"/>
        <w:kinsoku/>
        <w:wordWrap/>
        <w:overflowPunct/>
        <w:topLinePunct w:val="0"/>
        <w:bidi w:val="0"/>
        <w:snapToGrid/>
        <w:spacing w:before="0" w:beforeAutospacing="0" w:after="0" w:afterAutospacing="0" w:line="360" w:lineRule="auto"/>
        <w:textAlignment w:val="auto"/>
        <w:rPr>
          <w:b/>
        </w:rPr>
      </w:pPr>
      <w:bookmarkStart w:id="90" w:name="_Toc14548"/>
      <w:r>
        <w:rPr>
          <w:b/>
        </w:rPr>
        <w:t>5.4 Policy implication</w:t>
      </w:r>
      <w:bookmarkEnd w:id="90"/>
    </w:p>
    <w:p w14:paraId="06E29464">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The findings of this study have important policy implications for the financial sector, particularly regarding the need to prioritize customer satisfaction through enhanced service quality. As the analysis indicates a significant gap between customer expectations and perceived service performance, policymakers should consider implementing regulatory frameworks that mandate continuous assessment and improvement of service quality in financial institutions. Additionally, initiatives aimed at fostering customer engagement and feedback mechanisms will be crucial for bridging the identified gaps, ensuring that institutions like CRDB Bank can adapt to the diverse needs of their clientele. Furthermore, policies that promote training and development in customer service for banking employees will not only enhance service delivery but also align institutional practices with customer expectations, ultimately leading to higher levels of satisfaction and trust in the financial system</w:t>
      </w:r>
    </w:p>
    <w:p w14:paraId="17D1FEF8">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739C446D">
      <w:pPr>
        <w:pStyle w:val="2"/>
        <w:pageBreakBefore w:val="0"/>
        <w:kinsoku/>
        <w:wordWrap/>
        <w:overflowPunct/>
        <w:topLinePunct w:val="0"/>
        <w:bidi w:val="0"/>
        <w:snapToGrid/>
        <w:spacing w:before="0" w:beforeAutospacing="0" w:after="0" w:afterAutospacing="0" w:line="360" w:lineRule="auto"/>
        <w:textAlignment w:val="auto"/>
        <w:rPr>
          <w:b/>
        </w:rPr>
      </w:pPr>
      <w:bookmarkStart w:id="91" w:name="_Toc22947"/>
      <w:r>
        <w:rPr>
          <w:b/>
        </w:rPr>
        <w:t>5.5 Areas for Further studies</w:t>
      </w:r>
      <w:bookmarkEnd w:id="91"/>
      <w:r>
        <w:rPr>
          <w:b/>
        </w:rPr>
        <w:t xml:space="preserve"> </w:t>
      </w:r>
    </w:p>
    <w:p w14:paraId="2DFFE5FD">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 xml:space="preserve">Future research should explore several areas to build on the findings of this study regarding customer satisfaction in financial institutions. One area of interest could be the long-term effects of disconfirmation of beliefs on customer loyalty and retention, particularly across different demographic groups, to understand how variations in age, gender, and service interactions influence customer behavior over time. </w:t>
      </w:r>
    </w:p>
    <w:p w14:paraId="2E97DE81">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24"/>
          <w14:textFill>
            <w14:solidFill>
              <w14:schemeClr w14:val="tx1"/>
            </w14:solidFill>
          </w14:textFill>
        </w:rPr>
      </w:pPr>
    </w:p>
    <w:p w14:paraId="59F8C34A">
      <w:pPr>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color w:val="000000" w:themeColor="text1"/>
          <w:sz w:val="32"/>
          <w:szCs w:val="24"/>
          <w14:textFill>
            <w14:solidFill>
              <w14:schemeClr w14:val="tx1"/>
            </w14:solidFill>
          </w14:textFill>
        </w:rPr>
      </w:pPr>
      <w:r>
        <w:rPr>
          <w:rFonts w:ascii="Times New Roman" w:hAnsi="Times New Roman" w:cs="Times New Roman"/>
          <w:color w:val="000000" w:themeColor="text1"/>
          <w:sz w:val="24"/>
          <w14:textFill>
            <w14:solidFill>
              <w14:schemeClr w14:val="tx1"/>
            </w14:solidFill>
          </w14:textFill>
        </w:rPr>
        <w:t>Additionally, further studies could investigate the role of digital banking services in shaping customer expectations and satisfaction, especially as more clients shift to online platforms for their financial needs. Another promising avenue for research is the impact of customer service training programs on improving service quality and mitigating negative disconfirmation beliefs within financial institutions. Lastly, comparative studies between different banks or regions could yield insights into best practices and innovative strategies that effectively enhance customer satisfaction across the banking industry</w:t>
      </w:r>
    </w:p>
    <w:p w14:paraId="0CB2C7D7">
      <w:pPr>
        <w:pageBreakBefore w:val="0"/>
        <w:kinsoku/>
        <w:wordWrap/>
        <w:overflowPunct/>
        <w:topLinePunct w:val="0"/>
        <w:bidi w:val="0"/>
        <w:snapToGrid/>
        <w:spacing w:beforeAutospacing="0" w:after="0" w:afterAutospacing="0" w:line="360" w:lineRule="auto"/>
        <w:textAlignment w:val="auto"/>
        <w:rPr>
          <w:rFonts w:ascii="Arial" w:hAnsi="Arial" w:eastAsia="SimSun" w:cs="Arial"/>
          <w:b/>
          <w:bCs/>
          <w:color w:val="000000"/>
          <w:sz w:val="24"/>
          <w:szCs w:val="28"/>
        </w:rPr>
      </w:pPr>
      <w:r>
        <w:rPr>
          <w:rFonts w:ascii="Arial" w:hAnsi="Arial" w:eastAsia="SimSun" w:cs="Arial"/>
          <w:b/>
          <w:bCs/>
          <w:color w:val="000000"/>
          <w:sz w:val="24"/>
          <w:szCs w:val="28"/>
        </w:rPr>
        <w:br w:type="page"/>
      </w:r>
    </w:p>
    <w:sdt>
      <w:sdtPr>
        <w:rPr>
          <w:rFonts w:asciiTheme="minorHAnsi" w:hAnsiTheme="minorHAnsi" w:eastAsiaTheme="minorHAnsi" w:cstheme="minorBidi"/>
          <w:color w:val="auto"/>
          <w:sz w:val="22"/>
          <w:szCs w:val="22"/>
        </w:rPr>
        <w:id w:val="-342393037"/>
        <w:docPartObj>
          <w:docPartGallery w:val="autotext"/>
        </w:docPartObj>
      </w:sdtPr>
      <w:sdtEndPr>
        <w:rPr>
          <w:rFonts w:asciiTheme="minorHAnsi" w:hAnsiTheme="minorHAnsi" w:eastAsiaTheme="minorHAnsi" w:cstheme="minorBidi"/>
          <w:color w:val="auto"/>
          <w:sz w:val="22"/>
          <w:szCs w:val="22"/>
        </w:rPr>
      </w:sdtEndPr>
      <w:sdtContent>
        <w:p w14:paraId="29F5E044">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92" w:name="_Toc32"/>
          <w:r>
            <w:rPr>
              <w:b/>
            </w:rPr>
            <w:t>REFERENCES</w:t>
          </w:r>
          <w:bookmarkEnd w:id="56"/>
          <w:bookmarkEnd w:id="57"/>
          <w:bookmarkEnd w:id="58"/>
          <w:bookmarkEnd w:id="92"/>
        </w:p>
        <w:sdt>
          <w:sdtPr>
            <w:id w:val="-573587230"/>
          </w:sdtPr>
          <w:sdtContent>
            <w:p w14:paraId="5D3ACBE8">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BIBLIOGRAPHY </w:instrText>
              </w:r>
              <w:r>
                <w:rPr>
                  <w:rFonts w:ascii="Times New Roman" w:hAnsi="Times New Roman" w:cs="Times New Roman"/>
                  <w:sz w:val="24"/>
                  <w:szCs w:val="24"/>
                </w:rPr>
                <w:fldChar w:fldCharType="separate"/>
              </w:r>
            </w:p>
            <w:p w14:paraId="34B2D7B1">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AL-Azzam. (2015). The impact of service quality dimension on customer satisfaction. A field study Arab Bank in Iribid city. </w:t>
              </w:r>
              <w:r>
                <w:rPr>
                  <w:rFonts w:ascii="Times New Roman" w:hAnsi="Times New Roman" w:cs="Times New Roman"/>
                  <w:i/>
                  <w:iCs/>
                  <w:sz w:val="24"/>
                  <w:szCs w:val="24"/>
                </w:rPr>
                <w:t>Eruapean journal of business and management</w:t>
              </w:r>
              <w:r>
                <w:rPr>
                  <w:rFonts w:ascii="Times New Roman" w:hAnsi="Times New Roman" w:cs="Times New Roman"/>
                  <w:sz w:val="24"/>
                  <w:szCs w:val="24"/>
                </w:rPr>
                <w:t>, 7(150, 45-43.</w:t>
              </w:r>
            </w:p>
            <w:p w14:paraId="30FD6478">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Arasil, M.-S. a. (2005). Customer service quality in the greek cypriot banking industry. </w:t>
              </w:r>
              <w:r>
                <w:rPr>
                  <w:rFonts w:ascii="Times New Roman" w:hAnsi="Times New Roman" w:cs="Times New Roman"/>
                  <w:i/>
                  <w:iCs/>
                  <w:sz w:val="24"/>
                  <w:szCs w:val="24"/>
                </w:rPr>
                <w:t xml:space="preserve">Managing service quality </w:t>
              </w:r>
              <w:r>
                <w:rPr>
                  <w:rFonts w:ascii="Times New Roman" w:hAnsi="Times New Roman" w:cs="Times New Roman"/>
                  <w:sz w:val="24"/>
                  <w:szCs w:val="24"/>
                </w:rPr>
                <w:t>, Vol. 15 No. 1.pp 41-576.</w:t>
              </w:r>
            </w:p>
            <w:p w14:paraId="1EC17D04">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Armstrong, K. P. (2008). </w:t>
              </w:r>
              <w:r>
                <w:rPr>
                  <w:rFonts w:ascii="Times New Roman" w:hAnsi="Times New Roman" w:cs="Times New Roman"/>
                  <w:i/>
                  <w:iCs/>
                  <w:sz w:val="24"/>
                  <w:szCs w:val="24"/>
                </w:rPr>
                <w:t>Prinsprinsp pemasaran, edis.</w:t>
              </w:r>
              <w:r>
                <w:rPr>
                  <w:rFonts w:ascii="Times New Roman" w:hAnsi="Times New Roman" w:cs="Times New Roman"/>
                  <w:sz w:val="24"/>
                  <w:szCs w:val="24"/>
                </w:rPr>
                <w:t xml:space="preserve"> Edis 12: Jakata Erlangga.</w:t>
              </w:r>
            </w:p>
            <w:p w14:paraId="1640FE89">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Arokiasamy &amp;Tat. (2014). Assessing the relationship between service quality and customer satisfaction in Malysia, Automotive Insuarance Industry, Middle east. </w:t>
              </w:r>
              <w:r>
                <w:rPr>
                  <w:rFonts w:ascii="Times New Roman" w:hAnsi="Times New Roman" w:cs="Times New Roman"/>
                  <w:i/>
                  <w:iCs/>
                  <w:sz w:val="24"/>
                  <w:szCs w:val="24"/>
                </w:rPr>
                <w:t>Journal of scientific Research</w:t>
              </w:r>
              <w:r>
                <w:rPr>
                  <w:rFonts w:ascii="Times New Roman" w:hAnsi="Times New Roman" w:cs="Times New Roman"/>
                  <w:sz w:val="24"/>
                  <w:szCs w:val="24"/>
                </w:rPr>
                <w:t>, 20(9), 1023-1030.</w:t>
              </w:r>
            </w:p>
            <w:p w14:paraId="71BE2FA1">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Bhandari. (2024, july 23). </w:t>
              </w:r>
              <w:r>
                <w:rPr>
                  <w:rFonts w:ascii="Times New Roman" w:hAnsi="Times New Roman" w:cs="Times New Roman"/>
                  <w:i/>
                  <w:iCs/>
                  <w:sz w:val="24"/>
                  <w:szCs w:val="24"/>
                </w:rPr>
                <w:t>Scribbr.Retrived</w:t>
              </w:r>
              <w:r>
                <w:rPr>
                  <w:rFonts w:ascii="Times New Roman" w:hAnsi="Times New Roman" w:cs="Times New Roman"/>
                  <w:sz w:val="24"/>
                  <w:szCs w:val="24"/>
                </w:rPr>
                <w:t>. Retrieved from Population Vs Sample/Difination,Differences and Examples.: http://www.scribbr.com/Methodology/Population.</w:t>
              </w:r>
            </w:p>
            <w:p w14:paraId="6255008E">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Bharwana, B. &amp;. (2013). Impact of service quality on customer's satisfaction; A study from service sector especially privte collages of faisalah, pumjab, pakistan. </w:t>
              </w:r>
              <w:r>
                <w:rPr>
                  <w:rFonts w:ascii="Times New Roman" w:hAnsi="Times New Roman" w:cs="Times New Roman"/>
                  <w:i/>
                  <w:iCs/>
                  <w:sz w:val="24"/>
                  <w:szCs w:val="24"/>
                </w:rPr>
                <w:t xml:space="preserve">International Journal of scientific and research publication </w:t>
              </w:r>
              <w:r>
                <w:rPr>
                  <w:rFonts w:ascii="Times New Roman" w:hAnsi="Times New Roman" w:cs="Times New Roman"/>
                  <w:sz w:val="24"/>
                  <w:szCs w:val="24"/>
                </w:rPr>
                <w:t>, 3(5) 1-7.</w:t>
              </w:r>
            </w:p>
            <w:p w14:paraId="44D07310">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chakravartty, S. (2018). </w:t>
              </w:r>
              <w:r>
                <w:rPr>
                  <w:rFonts w:ascii="Times New Roman" w:hAnsi="Times New Roman" w:cs="Times New Roman"/>
                  <w:i/>
                  <w:iCs/>
                  <w:sz w:val="24"/>
                  <w:szCs w:val="24"/>
                </w:rPr>
                <w:t>Expectancy Disconfirmatin theory.</w:t>
              </w:r>
              <w:r>
                <w:rPr>
                  <w:rFonts w:ascii="Times New Roman" w:hAnsi="Times New Roman" w:cs="Times New Roman"/>
                  <w:sz w:val="24"/>
                  <w:szCs w:val="24"/>
                </w:rPr>
                <w:t xml:space="preserve"> Quality engeneer lead .</w:t>
              </w:r>
            </w:p>
            <w:p w14:paraId="1B26A1DE">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CRDB. (2013). </w:t>
              </w:r>
              <w:r>
                <w:rPr>
                  <w:rFonts w:ascii="Times New Roman" w:hAnsi="Times New Roman" w:cs="Times New Roman"/>
                  <w:i/>
                  <w:iCs/>
                  <w:sz w:val="24"/>
                  <w:szCs w:val="24"/>
                </w:rPr>
                <w:t>Financial report 31st ended.</w:t>
              </w:r>
              <w:r>
                <w:rPr>
                  <w:rFonts w:ascii="Times New Roman" w:hAnsi="Times New Roman" w:cs="Times New Roman"/>
                  <w:sz w:val="24"/>
                  <w:szCs w:val="24"/>
                </w:rPr>
                <w:t xml:space="preserve"> </w:t>
              </w:r>
            </w:p>
            <w:p w14:paraId="2B098A81">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Ekinci, &amp;. S. (2004). </w:t>
              </w:r>
              <w:r>
                <w:rPr>
                  <w:rFonts w:ascii="Times New Roman" w:hAnsi="Times New Roman" w:cs="Times New Roman"/>
                  <w:i/>
                  <w:iCs/>
                  <w:sz w:val="24"/>
                  <w:szCs w:val="24"/>
                </w:rPr>
                <w:t>An examination of the Antecedents and Consequences of customer; In crouch G.,I, Perdue,R.R Timmermans H.J.P &amp; Uysal M. Consumer psychology of tourism hospitality and leisure.</w:t>
              </w:r>
              <w:r>
                <w:rPr>
                  <w:rFonts w:ascii="Times New Roman" w:hAnsi="Times New Roman" w:cs="Times New Roman"/>
                  <w:sz w:val="24"/>
                  <w:szCs w:val="24"/>
                </w:rPr>
                <w:t xml:space="preserve"> Cambridge ,MA:: CABI pp,189-202.</w:t>
              </w:r>
            </w:p>
            <w:p w14:paraId="5DAA1AD6">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Ennew, C. a. (1999). The impact of participative service relationships on quality, satisfaction and rerention: An exploratory study. . </w:t>
              </w:r>
              <w:r>
                <w:rPr>
                  <w:rFonts w:ascii="Times New Roman" w:hAnsi="Times New Roman" w:cs="Times New Roman"/>
                  <w:i/>
                  <w:iCs/>
                  <w:sz w:val="24"/>
                  <w:szCs w:val="24"/>
                </w:rPr>
                <w:t xml:space="preserve">Journal of business research </w:t>
              </w:r>
              <w:r>
                <w:rPr>
                  <w:rFonts w:ascii="Times New Roman" w:hAnsi="Times New Roman" w:cs="Times New Roman"/>
                  <w:sz w:val="24"/>
                  <w:szCs w:val="24"/>
                </w:rPr>
                <w:t>, 46, 121-132.</w:t>
              </w:r>
            </w:p>
            <w:p w14:paraId="28803BE8">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Fullerton, G. (2005). The service quality-loyalty relationship in retail services:Does commitment matter? </w:t>
              </w:r>
              <w:r>
                <w:rPr>
                  <w:rFonts w:ascii="Times New Roman" w:hAnsi="Times New Roman" w:cs="Times New Roman"/>
                  <w:i/>
                  <w:iCs/>
                  <w:sz w:val="24"/>
                  <w:szCs w:val="24"/>
                </w:rPr>
                <w:t>Journal of Retailing and consumer services,</w:t>
              </w:r>
              <w:r>
                <w:rPr>
                  <w:rFonts w:ascii="Times New Roman" w:hAnsi="Times New Roman" w:cs="Times New Roman"/>
                  <w:sz w:val="24"/>
                  <w:szCs w:val="24"/>
                </w:rPr>
                <w:t>, 12(2),99-111.</w:t>
              </w:r>
            </w:p>
            <w:p w14:paraId="1244F88C">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Hussein, R. N. (2014). Service quality and customer satisfaction of UAE based Airline:An Emperical Investigation . </w:t>
              </w:r>
              <w:r>
                <w:rPr>
                  <w:rFonts w:ascii="Times New Roman" w:hAnsi="Times New Roman" w:cs="Times New Roman"/>
                  <w:i/>
                  <w:iCs/>
                  <w:sz w:val="24"/>
                  <w:szCs w:val="24"/>
                </w:rPr>
                <w:t>Journal of Air Transort Management</w:t>
              </w:r>
              <w:r>
                <w:rPr>
                  <w:rFonts w:ascii="Times New Roman" w:hAnsi="Times New Roman" w:cs="Times New Roman"/>
                  <w:sz w:val="24"/>
                  <w:szCs w:val="24"/>
                </w:rPr>
                <w:t>, 167-175.</w:t>
              </w:r>
            </w:p>
            <w:p w14:paraId="111AB392">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Khan, M. &amp;. (2014). Impact of service quality on cusstomer satisfaction and customer loyality ; Evidence from banking , pakistan. </w:t>
              </w:r>
              <w:r>
                <w:rPr>
                  <w:rFonts w:ascii="Times New Roman" w:hAnsi="Times New Roman" w:cs="Times New Roman"/>
                  <w:i/>
                  <w:iCs/>
                  <w:sz w:val="24"/>
                  <w:szCs w:val="24"/>
                </w:rPr>
                <w:t xml:space="preserve">Journal of commerce and social science </w:t>
              </w:r>
              <w:r>
                <w:rPr>
                  <w:rFonts w:ascii="Times New Roman" w:hAnsi="Times New Roman" w:cs="Times New Roman"/>
                  <w:sz w:val="24"/>
                  <w:szCs w:val="24"/>
                </w:rPr>
                <w:t>, 8(2), 331-354.</w:t>
              </w:r>
            </w:p>
            <w:p w14:paraId="7879DAD1">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Khatib Esmael, .. O. (2019). </w:t>
              </w:r>
              <w:r>
                <w:rPr>
                  <w:rFonts w:ascii="Times New Roman" w:hAnsi="Times New Roman" w:cs="Times New Roman"/>
                  <w:i/>
                  <w:iCs/>
                  <w:sz w:val="24"/>
                  <w:szCs w:val="24"/>
                </w:rPr>
                <w:t>Dimensions of services marketing mix and its effects on customer satisfaction. A case study of international Kurdistan banking.</w:t>
              </w:r>
              <w:r>
                <w:rPr>
                  <w:rFonts w:ascii="Times New Roman" w:hAnsi="Times New Roman" w:cs="Times New Roman"/>
                  <w:sz w:val="24"/>
                  <w:szCs w:val="24"/>
                </w:rPr>
                <w:t xml:space="preserve"> Erbil city iraq: Test engineering and management (4846), 4846-4855.</w:t>
              </w:r>
            </w:p>
            <w:p w14:paraId="53CA6B44">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Kothari. (2004). </w:t>
              </w:r>
              <w:r>
                <w:rPr>
                  <w:rFonts w:ascii="Times New Roman" w:hAnsi="Times New Roman" w:cs="Times New Roman"/>
                  <w:i/>
                  <w:iCs/>
                  <w:sz w:val="24"/>
                  <w:szCs w:val="24"/>
                </w:rPr>
                <w:t>Research methodology: Methods and techniques to print 1st edition.</w:t>
              </w:r>
              <w:r>
                <w:rPr>
                  <w:rFonts w:ascii="Times New Roman" w:hAnsi="Times New Roman" w:cs="Times New Roman"/>
                  <w:sz w:val="24"/>
                  <w:szCs w:val="24"/>
                </w:rPr>
                <w:t xml:space="preserve"> New age international(P) Ltd.</w:t>
              </w:r>
            </w:p>
            <w:p w14:paraId="45CBD974">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Kotler &amp;Armstrong. (2001). </w:t>
              </w:r>
              <w:r>
                <w:rPr>
                  <w:rFonts w:ascii="Times New Roman" w:hAnsi="Times New Roman" w:cs="Times New Roman"/>
                  <w:i/>
                  <w:iCs/>
                  <w:sz w:val="24"/>
                  <w:szCs w:val="24"/>
                </w:rPr>
                <w:t>Principle of marketing.</w:t>
              </w:r>
              <w:r>
                <w:rPr>
                  <w:rFonts w:ascii="Times New Roman" w:hAnsi="Times New Roman" w:cs="Times New Roman"/>
                  <w:sz w:val="24"/>
                  <w:szCs w:val="24"/>
                </w:rPr>
                <w:t xml:space="preserve"> India: Prentice-Hall.</w:t>
              </w:r>
            </w:p>
            <w:p w14:paraId="58AF7E45">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Kotler, P. (2007). Marketing management. </w:t>
              </w:r>
              <w:r>
                <w:rPr>
                  <w:rFonts w:ascii="Times New Roman" w:hAnsi="Times New Roman" w:cs="Times New Roman"/>
                  <w:i/>
                  <w:iCs/>
                  <w:sz w:val="24"/>
                  <w:szCs w:val="24"/>
                </w:rPr>
                <w:t>millenium edition, prentince hall Inc</w:t>
              </w:r>
              <w:r>
                <w:rPr>
                  <w:rFonts w:ascii="Times New Roman" w:hAnsi="Times New Roman" w:cs="Times New Roman"/>
                  <w:sz w:val="24"/>
                  <w:szCs w:val="24"/>
                </w:rPr>
                <w:t>.</w:t>
              </w:r>
            </w:p>
            <w:p w14:paraId="7B26B340">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Kumar, M. K. (2010). </w:t>
              </w:r>
              <w:r>
                <w:rPr>
                  <w:rFonts w:ascii="Times New Roman" w:hAnsi="Times New Roman" w:cs="Times New Roman"/>
                  <w:i/>
                  <w:iCs/>
                  <w:sz w:val="24"/>
                  <w:szCs w:val="24"/>
                </w:rPr>
                <w:t>An application of Dominance Analysis in modified SERVIQUAL Model.</w:t>
              </w:r>
              <w:r>
                <w:rPr>
                  <w:rFonts w:ascii="Times New Roman" w:hAnsi="Times New Roman" w:cs="Times New Roman"/>
                  <w:sz w:val="24"/>
                  <w:szCs w:val="24"/>
                </w:rPr>
                <w:t xml:space="preserve"> </w:t>
              </w:r>
            </w:p>
            <w:p w14:paraId="0A52BCF4">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Morgan. (2014). </w:t>
              </w:r>
              <w:r>
                <w:rPr>
                  <w:rFonts w:ascii="Times New Roman" w:hAnsi="Times New Roman" w:cs="Times New Roman"/>
                  <w:i/>
                  <w:iCs/>
                  <w:sz w:val="24"/>
                  <w:szCs w:val="24"/>
                </w:rPr>
                <w:t>The impact of service quality on customer satisfaction in banking industry : A case of CRDB bank in njombe and iringa region.</w:t>
              </w:r>
              <w:r>
                <w:rPr>
                  <w:rFonts w:ascii="Times New Roman" w:hAnsi="Times New Roman" w:cs="Times New Roman"/>
                  <w:sz w:val="24"/>
                  <w:szCs w:val="24"/>
                </w:rPr>
                <w:t xml:space="preserve"> </w:t>
              </w:r>
            </w:p>
            <w:p w14:paraId="47E3C2AF">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Newman. (2001). Interrograting SERVQUAL; A critical assessment of service quality measurements in a high Street Retail Bank,. </w:t>
              </w:r>
              <w:r>
                <w:rPr>
                  <w:rFonts w:ascii="Times New Roman" w:hAnsi="Times New Roman" w:cs="Times New Roman"/>
                  <w:i/>
                  <w:iCs/>
                  <w:sz w:val="24"/>
                  <w:szCs w:val="24"/>
                </w:rPr>
                <w:t>International Journal of bank Marketing,</w:t>
              </w:r>
              <w:r>
                <w:rPr>
                  <w:rFonts w:ascii="Times New Roman" w:hAnsi="Times New Roman" w:cs="Times New Roman"/>
                  <w:sz w:val="24"/>
                  <w:szCs w:val="24"/>
                </w:rPr>
                <w:t>, 10(3), 1-4.</w:t>
              </w:r>
            </w:p>
            <w:p w14:paraId="75B845CE">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Oliver, R. (1997). A cognitive model of antecedents and consequences of satisfaction decisions. </w:t>
              </w:r>
              <w:r>
                <w:rPr>
                  <w:rFonts w:ascii="Times New Roman" w:hAnsi="Times New Roman" w:cs="Times New Roman"/>
                  <w:i/>
                  <w:iCs/>
                  <w:sz w:val="24"/>
                  <w:szCs w:val="24"/>
                </w:rPr>
                <w:t xml:space="preserve">journal of marketing research </w:t>
              </w:r>
              <w:r>
                <w:rPr>
                  <w:rFonts w:ascii="Times New Roman" w:hAnsi="Times New Roman" w:cs="Times New Roman"/>
                  <w:sz w:val="24"/>
                  <w:szCs w:val="24"/>
                </w:rPr>
                <w:t>, 17(4), 460-469.</w:t>
              </w:r>
            </w:p>
            <w:p w14:paraId="28AC81D1">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Omar, S. S. (2015). Determining the influence of the Relability of service Quality on customer satisfaction. The case of Libyan. </w:t>
              </w:r>
              <w:r>
                <w:rPr>
                  <w:rFonts w:ascii="Times New Roman" w:hAnsi="Times New Roman" w:cs="Times New Roman"/>
                  <w:i/>
                  <w:iCs/>
                  <w:sz w:val="24"/>
                  <w:szCs w:val="24"/>
                </w:rPr>
                <w:t>International Journal of learning of learning &amp; development</w:t>
              </w:r>
              <w:r>
                <w:rPr>
                  <w:rFonts w:ascii="Times New Roman" w:hAnsi="Times New Roman" w:cs="Times New Roman"/>
                  <w:sz w:val="24"/>
                  <w:szCs w:val="24"/>
                </w:rPr>
                <w:t>, 5(1) 86-89.</w:t>
              </w:r>
            </w:p>
            <w:p w14:paraId="77825A53">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Othaman. (January 2013). </w:t>
              </w:r>
              <w:r>
                <w:rPr>
                  <w:rFonts w:ascii="Times New Roman" w:hAnsi="Times New Roman" w:cs="Times New Roman"/>
                  <w:i/>
                  <w:iCs/>
                  <w:sz w:val="24"/>
                  <w:szCs w:val="24"/>
                </w:rPr>
                <w:t>The influence of technology acceptance model on behavioral intantion to use internet banking system.</w:t>
              </w:r>
              <w:r>
                <w:rPr>
                  <w:rFonts w:ascii="Times New Roman" w:hAnsi="Times New Roman" w:cs="Times New Roman"/>
                  <w:sz w:val="24"/>
                  <w:szCs w:val="24"/>
                </w:rPr>
                <w:t xml:space="preserve"> Malysia: University technology .</w:t>
              </w:r>
            </w:p>
            <w:p w14:paraId="4552DF3C">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parasuraman, A. B. (1991). Refinement and Reassesment of SERVQUAL scale. </w:t>
              </w:r>
              <w:r>
                <w:rPr>
                  <w:rFonts w:ascii="Times New Roman" w:hAnsi="Times New Roman" w:cs="Times New Roman"/>
                  <w:i/>
                  <w:iCs/>
                  <w:sz w:val="24"/>
                  <w:szCs w:val="24"/>
                </w:rPr>
                <w:t>Journal musing dignin,</w:t>
              </w:r>
              <w:r>
                <w:rPr>
                  <w:rFonts w:ascii="Times New Roman" w:hAnsi="Times New Roman" w:cs="Times New Roman"/>
                  <w:sz w:val="24"/>
                  <w:szCs w:val="24"/>
                </w:rPr>
                <w:t>, vol. 67, n0 6 pp: 420-450.</w:t>
              </w:r>
            </w:p>
            <w:p w14:paraId="26FF85ED">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Parasuraman, A. L. (1991). </w:t>
              </w:r>
              <w:r>
                <w:rPr>
                  <w:rFonts w:ascii="Times New Roman" w:hAnsi="Times New Roman" w:cs="Times New Roman"/>
                  <w:i/>
                  <w:iCs/>
                  <w:sz w:val="24"/>
                  <w:szCs w:val="24"/>
                </w:rPr>
                <w:t>Understanding Customer expectations of services.</w:t>
              </w:r>
              <w:r>
                <w:rPr>
                  <w:rFonts w:ascii="Times New Roman" w:hAnsi="Times New Roman" w:cs="Times New Roman"/>
                  <w:sz w:val="24"/>
                  <w:szCs w:val="24"/>
                </w:rPr>
                <w:t xml:space="preserve"> Management Review 32:39-48.</w:t>
              </w:r>
            </w:p>
            <w:p w14:paraId="13499D98">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praseto, H. G. (2020). The Influence of service quality Towards the Customer Satisfaction. </w:t>
              </w:r>
              <w:r>
                <w:rPr>
                  <w:rFonts w:ascii="Times New Roman" w:hAnsi="Times New Roman" w:cs="Times New Roman"/>
                  <w:i/>
                  <w:iCs/>
                  <w:sz w:val="24"/>
                  <w:szCs w:val="24"/>
                </w:rPr>
                <w:t xml:space="preserve">International journal of Innovate Science and Technology </w:t>
              </w:r>
              <w:r>
                <w:rPr>
                  <w:rFonts w:ascii="Times New Roman" w:hAnsi="Times New Roman" w:cs="Times New Roman"/>
                  <w:sz w:val="24"/>
                  <w:szCs w:val="24"/>
                </w:rPr>
                <w:t>, ISSN NO:2456-2165.</w:t>
              </w:r>
            </w:p>
            <w:p w14:paraId="03690021">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Shed Chinwuba Moguluwa, E. O. (2013). Evaluating customer perceived service quality and customer satisfaction in the Nigerian Banking Industry. </w:t>
              </w:r>
              <w:r>
                <w:rPr>
                  <w:rFonts w:ascii="Times New Roman" w:hAnsi="Times New Roman" w:cs="Times New Roman"/>
                  <w:i/>
                  <w:iCs/>
                  <w:sz w:val="24"/>
                  <w:szCs w:val="24"/>
                </w:rPr>
                <w:t>Far East Journal of Psychology and Business</w:t>
              </w:r>
              <w:r>
                <w:rPr>
                  <w:rFonts w:ascii="Times New Roman" w:hAnsi="Times New Roman" w:cs="Times New Roman"/>
                  <w:sz w:val="24"/>
                  <w:szCs w:val="24"/>
                </w:rPr>
                <w:t>, 11(3), 34-46.</w:t>
              </w:r>
            </w:p>
            <w:p w14:paraId="1C79E1A6">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Simonson, O. &amp;. (2007). Effect of stating expectation on customer satisfaction and shopping experience. </w:t>
              </w:r>
              <w:r>
                <w:rPr>
                  <w:rFonts w:ascii="Times New Roman" w:hAnsi="Times New Roman" w:cs="Times New Roman"/>
                  <w:i/>
                  <w:iCs/>
                  <w:sz w:val="24"/>
                  <w:szCs w:val="24"/>
                </w:rPr>
                <w:t xml:space="preserve">Journal of Marketing Research </w:t>
              </w:r>
              <w:r>
                <w:rPr>
                  <w:rFonts w:ascii="Times New Roman" w:hAnsi="Times New Roman" w:cs="Times New Roman"/>
                  <w:sz w:val="24"/>
                  <w:szCs w:val="24"/>
                </w:rPr>
                <w:t>, Vol XLIV, PP164-174.</w:t>
              </w:r>
            </w:p>
            <w:p w14:paraId="4E8681CF">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Smith. (2002). The effect of customers emotional responses to service failure on their recovery effort evaluations and satisfaction judgment. </w:t>
              </w:r>
              <w:r>
                <w:rPr>
                  <w:rFonts w:ascii="Times New Roman" w:hAnsi="Times New Roman" w:cs="Times New Roman"/>
                  <w:i/>
                  <w:iCs/>
                  <w:sz w:val="24"/>
                  <w:szCs w:val="24"/>
                </w:rPr>
                <w:t xml:space="preserve">Journal of academy of Marketing Science </w:t>
              </w:r>
              <w:r>
                <w:rPr>
                  <w:rFonts w:ascii="Times New Roman" w:hAnsi="Times New Roman" w:cs="Times New Roman"/>
                  <w:sz w:val="24"/>
                  <w:szCs w:val="24"/>
                </w:rPr>
                <w:t>, 30(1), 5-23.</w:t>
              </w:r>
            </w:p>
            <w:p w14:paraId="1FB51C8E">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Solimun, F. &amp;. (2018). The mediation effect of customer satisfaction in the relationship between service quality, service orentation and marketing mix strategy to customer loyality. </w:t>
              </w:r>
              <w:r>
                <w:rPr>
                  <w:rFonts w:ascii="Times New Roman" w:hAnsi="Times New Roman" w:cs="Times New Roman"/>
                  <w:i/>
                  <w:iCs/>
                  <w:sz w:val="24"/>
                  <w:szCs w:val="24"/>
                </w:rPr>
                <w:t>Journal of managment development</w:t>
              </w:r>
              <w:r>
                <w:rPr>
                  <w:rFonts w:ascii="Times New Roman" w:hAnsi="Times New Roman" w:cs="Times New Roman"/>
                  <w:sz w:val="24"/>
                  <w:szCs w:val="24"/>
                </w:rPr>
                <w:t>, 3(1) 76-78 https;//doi.rg/10.1108/JMD-122016-0315.</w:t>
              </w:r>
            </w:p>
            <w:p w14:paraId="30E072CF">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Sureshbab, B. &amp;. (2014). Customer satisfaction on Tangibility of Banking service in thanjavar city. . </w:t>
              </w:r>
              <w:r>
                <w:rPr>
                  <w:rFonts w:ascii="Times New Roman" w:hAnsi="Times New Roman" w:cs="Times New Roman"/>
                  <w:i/>
                  <w:iCs/>
                  <w:sz w:val="24"/>
                  <w:szCs w:val="24"/>
                </w:rPr>
                <w:t>Journal of Research in commerce &amp; Managment</w:t>
              </w:r>
              <w:r>
                <w:rPr>
                  <w:rFonts w:ascii="Times New Roman" w:hAnsi="Times New Roman" w:cs="Times New Roman"/>
                  <w:sz w:val="24"/>
                  <w:szCs w:val="24"/>
                </w:rPr>
                <w:t>, 3(9), 76-84.</w:t>
              </w:r>
            </w:p>
            <w:p w14:paraId="6F6FBC7A">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Thong. (2006). The effects of post-adoption beliefs on the expectation-confirmation model for information technology continuence. </w:t>
              </w:r>
              <w:r>
                <w:rPr>
                  <w:rFonts w:ascii="Times New Roman" w:hAnsi="Times New Roman" w:cs="Times New Roman"/>
                  <w:i/>
                  <w:iCs/>
                  <w:sz w:val="24"/>
                  <w:szCs w:val="24"/>
                </w:rPr>
                <w:t>International journalof Human-computer studies,</w:t>
              </w:r>
              <w:r>
                <w:rPr>
                  <w:rFonts w:ascii="Times New Roman" w:hAnsi="Times New Roman" w:cs="Times New Roman"/>
                  <w:sz w:val="24"/>
                  <w:szCs w:val="24"/>
                </w:rPr>
                <w:t>, 64, 799-810.</w:t>
              </w:r>
            </w:p>
            <w:p w14:paraId="0FAD58F7">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ulaya, A. (2017). </w:t>
              </w:r>
              <w:r>
                <w:rPr>
                  <w:rFonts w:ascii="Times New Roman" w:hAnsi="Times New Roman" w:cs="Times New Roman"/>
                  <w:i/>
                  <w:iCs/>
                  <w:sz w:val="24"/>
                  <w:szCs w:val="24"/>
                </w:rPr>
                <w:t>Effects of service quality to customer satisfaction in Tanzania banking industry: The case of akiba commercial bank.</w:t>
              </w:r>
              <w:r>
                <w:rPr>
                  <w:rFonts w:ascii="Times New Roman" w:hAnsi="Times New Roman" w:cs="Times New Roman"/>
                  <w:sz w:val="24"/>
                  <w:szCs w:val="24"/>
                </w:rPr>
                <w:t xml:space="preserve"> </w:t>
              </w:r>
            </w:p>
            <w:p w14:paraId="417FC6A4">
              <w:pPr>
                <w:pStyle w:val="24"/>
                <w:pageBreakBefore w:val="0"/>
                <w:kinsoku/>
                <w:wordWrap/>
                <w:overflowPunct/>
                <w:topLinePunct w:val="0"/>
                <w:bidi w:val="0"/>
                <w:snapToGrid/>
                <w:spacing w:beforeAutospacing="0" w:after="0" w:afterAutospacing="0" w:line="360" w:lineRule="auto"/>
                <w:ind w:left="720" w:hanging="720"/>
                <w:jc w:val="both"/>
                <w:textAlignment w:val="auto"/>
                <w:rPr>
                  <w:rFonts w:ascii="Times New Roman" w:hAnsi="Times New Roman" w:cs="Times New Roman"/>
                  <w:sz w:val="24"/>
                  <w:szCs w:val="24"/>
                </w:rPr>
              </w:pPr>
              <w:r>
                <w:rPr>
                  <w:rFonts w:ascii="Times New Roman" w:hAnsi="Times New Roman" w:cs="Times New Roman"/>
                  <w:sz w:val="24"/>
                  <w:szCs w:val="24"/>
                </w:rPr>
                <w:t xml:space="preserve">Ulaya, A. Y. (2017). </w:t>
              </w:r>
              <w:r>
                <w:rPr>
                  <w:rFonts w:ascii="Times New Roman" w:hAnsi="Times New Roman" w:cs="Times New Roman"/>
                  <w:i/>
                  <w:iCs/>
                  <w:sz w:val="24"/>
                  <w:szCs w:val="24"/>
                </w:rPr>
                <w:t>Effect of service quality to customer satisfaction in Tanzania Banking industry.</w:t>
              </w:r>
              <w:r>
                <w:rPr>
                  <w:rFonts w:ascii="Times New Roman" w:hAnsi="Times New Roman" w:cs="Times New Roman"/>
                  <w:sz w:val="24"/>
                  <w:szCs w:val="24"/>
                </w:rPr>
                <w:t xml:space="preserve"> </w:t>
              </w:r>
            </w:p>
            <w:p w14:paraId="25B09DA8">
              <w:pPr>
                <w:pageBreakBefore w:val="0"/>
                <w:kinsoku/>
                <w:wordWrap/>
                <w:overflowPunct/>
                <w:topLinePunct w:val="0"/>
                <w:bidi w:val="0"/>
                <w:snapToGrid/>
                <w:spacing w:beforeAutospacing="0" w:after="0" w:afterAutospacing="0" w:line="360" w:lineRule="auto"/>
                <w:jc w:val="both"/>
                <w:textAlignment w:val="auto"/>
              </w:pPr>
              <w:r>
                <w:rPr>
                  <w:rFonts w:ascii="Times New Roman" w:hAnsi="Times New Roman" w:cs="Times New Roman"/>
                  <w:b/>
                  <w:bCs/>
                  <w:sz w:val="24"/>
                  <w:szCs w:val="24"/>
                </w:rPr>
                <w:fldChar w:fldCharType="end"/>
              </w:r>
            </w:p>
          </w:sdtContent>
        </w:sdt>
      </w:sdtContent>
    </w:sdt>
    <w:p w14:paraId="4F9A1C70">
      <w:pPr>
        <w:pageBreakBefore w:val="0"/>
        <w:tabs>
          <w:tab w:val="left" w:pos="3355"/>
        </w:tabs>
        <w:kinsoku/>
        <w:wordWrap/>
        <w:overflowPunct/>
        <w:topLinePunct w:val="0"/>
        <w:bidi w:val="0"/>
        <w:snapToGrid/>
        <w:spacing w:beforeAutospacing="0" w:after="0" w:afterAutospacing="0" w:line="360" w:lineRule="auto"/>
        <w:jc w:val="center"/>
        <w:textAlignment w:val="auto"/>
        <w:rPr>
          <w:rFonts w:ascii="Times New Roman" w:hAnsi="Times New Roman" w:cs="Times New Roman"/>
          <w:sz w:val="24"/>
          <w:szCs w:val="24"/>
        </w:rPr>
      </w:pPr>
    </w:p>
    <w:p w14:paraId="3780166B">
      <w:pPr>
        <w:pageBreakBefore w:val="0"/>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r>
        <w:rPr>
          <w:rFonts w:ascii="Times New Roman" w:hAnsi="Times New Roman" w:cs="Times New Roman"/>
          <w:b/>
          <w:sz w:val="24"/>
          <w:szCs w:val="24"/>
        </w:rPr>
        <w:br w:type="page"/>
      </w:r>
    </w:p>
    <w:p w14:paraId="3DDB7053">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93" w:name="_Toc29343"/>
      <w:r>
        <w:rPr>
          <w:b/>
        </w:rPr>
        <w:t>APPENDICES</w:t>
      </w:r>
      <w:bookmarkEnd w:id="93"/>
    </w:p>
    <w:p w14:paraId="5ED8FC2F">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94" w:name="_Toc10030"/>
      <w:r>
        <w:rPr>
          <w:b/>
        </w:rPr>
        <w:t>APPENDIX 1: QUESTIONNAIRE TOOLS</w:t>
      </w:r>
      <w:bookmarkEnd w:id="94"/>
    </w:p>
    <w:p w14:paraId="6CACE39D">
      <w:pPr>
        <w:pageBreakBefore w:val="0"/>
        <w:kinsoku/>
        <w:wordWrap/>
        <w:overflowPunct/>
        <w:topLinePunct w:val="0"/>
        <w:bidi w:val="0"/>
        <w:snapToGrid/>
        <w:spacing w:beforeAutospacing="0" w:after="0" w:afterAutospacing="0" w:line="360" w:lineRule="auto"/>
        <w:ind w:left="5"/>
        <w:jc w:val="both"/>
        <w:textAlignment w:val="auto"/>
        <w:rPr>
          <w:rFonts w:ascii="Times New Roman" w:hAnsi="Times New Roman" w:cs="Times New Roman"/>
          <w:sz w:val="24"/>
          <w:szCs w:val="24"/>
        </w:rPr>
      </w:pPr>
      <w:r>
        <w:rPr>
          <w:rFonts w:ascii="Times New Roman" w:hAnsi="Times New Roman" w:cs="Times New Roman"/>
          <w:sz w:val="24"/>
          <w:szCs w:val="24"/>
        </w:rPr>
        <w:t>Dear respondent</w:t>
      </w:r>
    </w:p>
    <w:p w14:paraId="51BB5FC7">
      <w:pPr>
        <w:pageBreakBefore w:val="0"/>
        <w:kinsoku/>
        <w:wordWrap/>
        <w:overflowPunct/>
        <w:topLinePunct w:val="0"/>
        <w:bidi w:val="0"/>
        <w:snapToGrid/>
        <w:spacing w:beforeAutospacing="0" w:after="0" w:afterAutospacing="0" w:line="360" w:lineRule="auto"/>
        <w:ind w:left="5"/>
        <w:jc w:val="both"/>
        <w:textAlignment w:val="auto"/>
        <w:rPr>
          <w:rFonts w:ascii="Times New Roman" w:hAnsi="Times New Roman" w:cs="Times New Roman"/>
          <w:sz w:val="24"/>
          <w:szCs w:val="24"/>
        </w:rPr>
      </w:pPr>
      <w:r>
        <w:rPr>
          <w:rFonts w:ascii="Times New Roman" w:hAnsi="Times New Roman" w:cs="Times New Roman"/>
          <w:sz w:val="24"/>
          <w:szCs w:val="24"/>
        </w:rPr>
        <w:t>My name is Catherine a student from Tanzania institute of accountancy. Am doing a research study on “The Influence of service quality on customer satisfaction, A case study of CRDB.</w:t>
      </w:r>
    </w:p>
    <w:p w14:paraId="515ADC16">
      <w:pPr>
        <w:pageBreakBefore w:val="0"/>
        <w:kinsoku/>
        <w:wordWrap/>
        <w:overflowPunct/>
        <w:topLinePunct w:val="0"/>
        <w:bidi w:val="0"/>
        <w:snapToGrid/>
        <w:spacing w:beforeAutospacing="0" w:after="0" w:afterAutospacing="0" w:line="360" w:lineRule="auto"/>
        <w:ind w:left="5"/>
        <w:jc w:val="both"/>
        <w:textAlignment w:val="auto"/>
        <w:rPr>
          <w:rFonts w:ascii="Times New Roman" w:hAnsi="Times New Roman" w:cs="Times New Roman"/>
          <w:sz w:val="24"/>
          <w:szCs w:val="24"/>
        </w:rPr>
      </w:pPr>
      <w:r>
        <w:rPr>
          <w:rFonts w:ascii="Times New Roman" w:hAnsi="Times New Roman" w:cs="Times New Roman"/>
          <w:sz w:val="24"/>
          <w:szCs w:val="24"/>
        </w:rPr>
        <w:t xml:space="preserve">please lend me few minutes of your time to fill out this questionnaire. It strictly for academic purpose and therefore all information provided shall be treated with maximum caution and confidentiality. All personal data provided shall treated collectively and not on personal level.  </w:t>
      </w:r>
    </w:p>
    <w:p w14:paraId="59508E2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b/>
          <w:sz w:val="24"/>
          <w:szCs w:val="24"/>
        </w:rPr>
        <w:t xml:space="preserve">Section A; participant information </w:t>
      </w:r>
    </w:p>
    <w:p w14:paraId="01F5DE7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b/>
          <w:sz w:val="24"/>
          <w:szCs w:val="24"/>
        </w:rPr>
        <w:t>Please mark appropriate box with an (V)</w:t>
      </w:r>
    </w:p>
    <w:p w14:paraId="78AFCB7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r>
        <w:rPr>
          <w:rFonts w:ascii="Times New Roman" w:hAnsi="Times New Roman" w:cs="Times New Roman"/>
          <w:b/>
          <w:sz w:val="24"/>
          <w:szCs w:val="24"/>
        </w:rPr>
        <w:t xml:space="preserve">1.Demographic information </w:t>
      </w:r>
    </w:p>
    <w:p w14:paraId="320688E1">
      <w:pPr>
        <w:pStyle w:val="7"/>
        <w:pageBreakBefore w:val="0"/>
        <w:numPr>
          <w:ilvl w:val="0"/>
          <w:numId w:val="4"/>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gender</w:t>
      </w:r>
    </w:p>
    <w:tbl>
      <w:tblPr>
        <w:tblStyle w:val="13"/>
        <w:tblW w:w="0" w:type="auto"/>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80"/>
        <w:gridCol w:w="810"/>
      </w:tblGrid>
      <w:tr w14:paraId="2BDF5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880" w:type="dxa"/>
          </w:tcPr>
          <w:p w14:paraId="2D8C036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Male</w:t>
            </w:r>
          </w:p>
        </w:tc>
        <w:tc>
          <w:tcPr>
            <w:tcW w:w="810" w:type="dxa"/>
          </w:tcPr>
          <w:p w14:paraId="09CAE29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32AD5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880" w:type="dxa"/>
          </w:tcPr>
          <w:p w14:paraId="192B664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Female</w:t>
            </w:r>
          </w:p>
        </w:tc>
        <w:tc>
          <w:tcPr>
            <w:tcW w:w="810" w:type="dxa"/>
          </w:tcPr>
          <w:p w14:paraId="0FE7246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bl>
    <w:p w14:paraId="7FD92800">
      <w:pPr>
        <w:pStyle w:val="7"/>
        <w:pageBreakBefore w:val="0"/>
        <w:kinsoku/>
        <w:wordWrap/>
        <w:overflowPunct/>
        <w:topLinePunct w:val="0"/>
        <w:bidi w:val="0"/>
        <w:snapToGrid/>
        <w:spacing w:beforeAutospacing="0" w:after="0" w:afterAutospacing="0" w:line="360" w:lineRule="auto"/>
        <w:ind w:left="720"/>
        <w:jc w:val="both"/>
        <w:textAlignment w:val="auto"/>
        <w:rPr>
          <w:rFonts w:ascii="Times New Roman" w:hAnsi="Times New Roman" w:cs="Times New Roman"/>
          <w:sz w:val="24"/>
          <w:szCs w:val="24"/>
        </w:rPr>
      </w:pPr>
    </w:p>
    <w:p w14:paraId="2BA7043E">
      <w:pPr>
        <w:pStyle w:val="7"/>
        <w:pageBreakBefore w:val="0"/>
        <w:numPr>
          <w:ilvl w:val="0"/>
          <w:numId w:val="4"/>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Age</w:t>
      </w:r>
    </w:p>
    <w:p w14:paraId="1C29865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18-24 [  ]</w:t>
      </w:r>
    </w:p>
    <w:p w14:paraId="3AC4060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25-31[  ]</w:t>
      </w:r>
    </w:p>
    <w:p w14:paraId="31D07C2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32-38[  ]</w:t>
      </w:r>
    </w:p>
    <w:p w14:paraId="4C24415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44-50[  ]</w:t>
      </w:r>
    </w:p>
    <w:p w14:paraId="3B9863D4">
      <w:pPr>
        <w:pStyle w:val="7"/>
        <w:pageBreakBefore w:val="0"/>
        <w:numPr>
          <w:ilvl w:val="0"/>
          <w:numId w:val="4"/>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How often do you visit the bank?</w:t>
      </w:r>
    </w:p>
    <w:p w14:paraId="0FDDA087">
      <w:pPr>
        <w:pStyle w:val="7"/>
        <w:pageBreakBefore w:val="0"/>
        <w:kinsoku/>
        <w:wordWrap/>
        <w:overflowPunct/>
        <w:topLinePunct w:val="0"/>
        <w:bidi w:val="0"/>
        <w:snapToGrid/>
        <w:spacing w:beforeAutospacing="0" w:after="0" w:afterAutospacing="0" w:line="360" w:lineRule="auto"/>
        <w:ind w:left="720"/>
        <w:jc w:val="both"/>
        <w:textAlignment w:val="auto"/>
        <w:rPr>
          <w:rFonts w:ascii="Times New Roman" w:hAnsi="Times New Roman" w:cs="Times New Roman"/>
          <w:sz w:val="24"/>
          <w:szCs w:val="24"/>
        </w:rPr>
      </w:pPr>
      <w:r>
        <w:rPr>
          <w:rFonts w:ascii="Times New Roman" w:hAnsi="Times New Roman" w:cs="Times New Roman"/>
          <w:sz w:val="24"/>
          <w:szCs w:val="24"/>
        </w:rPr>
        <w:t>Daily [  ]     weekly [  ]    monthly [  ]</w:t>
      </w:r>
    </w:p>
    <w:p w14:paraId="2C5F67C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b/>
          <w:sz w:val="24"/>
          <w:szCs w:val="24"/>
        </w:rPr>
        <w:t>Section B; Relationship between variables</w:t>
      </w:r>
    </w:p>
    <w:p w14:paraId="79D136B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r>
        <w:rPr>
          <w:rFonts w:ascii="Times New Roman" w:hAnsi="Times New Roman" w:cs="Times New Roman"/>
          <w:sz w:val="24"/>
          <w:szCs w:val="24"/>
        </w:rPr>
        <w:t>Please indicate your level of agreement with the following statement by ticking on the correct level where (SD= strongly agreed, D=disagree, N=neutral, A=agree, SA=strongly agreed.</w:t>
      </w:r>
    </w:p>
    <w:tbl>
      <w:tblPr>
        <w:tblStyle w:val="13"/>
        <w:tblW w:w="0" w:type="auto"/>
        <w:tblInd w:w="7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11"/>
        <w:gridCol w:w="4097"/>
        <w:gridCol w:w="601"/>
        <w:gridCol w:w="564"/>
        <w:gridCol w:w="499"/>
        <w:gridCol w:w="499"/>
        <w:gridCol w:w="523"/>
      </w:tblGrid>
      <w:tr w14:paraId="08ACB4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1F3F5B5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4869" w:type="dxa"/>
          </w:tcPr>
          <w:p w14:paraId="5B0B8FF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8" w:type="dxa"/>
          </w:tcPr>
          <w:p w14:paraId="4C354BC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SD</w:t>
            </w:r>
          </w:p>
        </w:tc>
        <w:tc>
          <w:tcPr>
            <w:tcW w:w="625" w:type="dxa"/>
          </w:tcPr>
          <w:p w14:paraId="35AD040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D</w:t>
            </w:r>
          </w:p>
        </w:tc>
        <w:tc>
          <w:tcPr>
            <w:tcW w:w="537" w:type="dxa"/>
          </w:tcPr>
          <w:p w14:paraId="3DEC1C1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N</w:t>
            </w:r>
          </w:p>
        </w:tc>
        <w:tc>
          <w:tcPr>
            <w:tcW w:w="537" w:type="dxa"/>
          </w:tcPr>
          <w:p w14:paraId="5576254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A</w:t>
            </w:r>
          </w:p>
        </w:tc>
        <w:tc>
          <w:tcPr>
            <w:tcW w:w="523" w:type="dxa"/>
          </w:tcPr>
          <w:p w14:paraId="7CD98BE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SA</w:t>
            </w:r>
          </w:p>
        </w:tc>
      </w:tr>
      <w:tr w14:paraId="108DB3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911" w:type="dxa"/>
          </w:tcPr>
          <w:p w14:paraId="3756374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CODE</w:t>
            </w:r>
          </w:p>
        </w:tc>
        <w:tc>
          <w:tcPr>
            <w:tcW w:w="4869" w:type="dxa"/>
          </w:tcPr>
          <w:p w14:paraId="20444A5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Customer satisfaction</w:t>
            </w:r>
          </w:p>
        </w:tc>
        <w:tc>
          <w:tcPr>
            <w:tcW w:w="628" w:type="dxa"/>
          </w:tcPr>
          <w:p w14:paraId="0E9C9FF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45B1BAB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22384B2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B18E9D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1448157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7E6ABA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37ACC51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Cs1</w:t>
            </w:r>
          </w:p>
        </w:tc>
        <w:tc>
          <w:tcPr>
            <w:tcW w:w="4869" w:type="dxa"/>
          </w:tcPr>
          <w:p w14:paraId="089661A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The level of the service is satisfactory </w:t>
            </w:r>
          </w:p>
        </w:tc>
        <w:tc>
          <w:tcPr>
            <w:tcW w:w="628" w:type="dxa"/>
          </w:tcPr>
          <w:p w14:paraId="773C940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4AFB5D7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51518D7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223612B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3127BDC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5A320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4945429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Cs2</w:t>
            </w:r>
          </w:p>
        </w:tc>
        <w:tc>
          <w:tcPr>
            <w:tcW w:w="4869" w:type="dxa"/>
          </w:tcPr>
          <w:p w14:paraId="5A92668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The company has successful meet your needs</w:t>
            </w:r>
          </w:p>
        </w:tc>
        <w:tc>
          <w:tcPr>
            <w:tcW w:w="628" w:type="dxa"/>
          </w:tcPr>
          <w:p w14:paraId="658928F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6D8A544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FAE8C0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A041B4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6A65E20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43786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4750EBF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Cs3</w:t>
            </w:r>
          </w:p>
        </w:tc>
        <w:tc>
          <w:tcPr>
            <w:tcW w:w="4869" w:type="dxa"/>
          </w:tcPr>
          <w:p w14:paraId="644F768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 It will be easy to recommend a service that meets your expectation.</w:t>
            </w:r>
          </w:p>
        </w:tc>
        <w:tc>
          <w:tcPr>
            <w:tcW w:w="628" w:type="dxa"/>
          </w:tcPr>
          <w:p w14:paraId="57EDCB7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01FA51D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281F936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4A966F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39CE00B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6B6EC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4B836B4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4869" w:type="dxa"/>
          </w:tcPr>
          <w:p w14:paraId="15AEF4A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Expectations</w:t>
            </w:r>
          </w:p>
        </w:tc>
        <w:tc>
          <w:tcPr>
            <w:tcW w:w="628" w:type="dxa"/>
          </w:tcPr>
          <w:p w14:paraId="53CAF50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6124110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4BFEDF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493F087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42EA9C5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409EAF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57F6E48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E1</w:t>
            </w:r>
          </w:p>
        </w:tc>
        <w:tc>
          <w:tcPr>
            <w:tcW w:w="4869" w:type="dxa"/>
          </w:tcPr>
          <w:p w14:paraId="3FDF02D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Failing to meet my expectations decrease my satisfaction with the service</w:t>
            </w:r>
          </w:p>
        </w:tc>
        <w:tc>
          <w:tcPr>
            <w:tcW w:w="628" w:type="dxa"/>
          </w:tcPr>
          <w:p w14:paraId="33510C2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503930F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79B683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4A61BB2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202C685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4E9943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3234AFF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E2</w:t>
            </w:r>
          </w:p>
        </w:tc>
        <w:tc>
          <w:tcPr>
            <w:tcW w:w="4869" w:type="dxa"/>
          </w:tcPr>
          <w:p w14:paraId="5E69150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The service is available whenever I need it</w:t>
            </w:r>
          </w:p>
        </w:tc>
        <w:tc>
          <w:tcPr>
            <w:tcW w:w="628" w:type="dxa"/>
          </w:tcPr>
          <w:p w14:paraId="39F79F1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64AEDBF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80A7DC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E01EAF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600EEF8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02FCE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386F6E0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E3</w:t>
            </w:r>
          </w:p>
        </w:tc>
        <w:tc>
          <w:tcPr>
            <w:tcW w:w="4869" w:type="dxa"/>
          </w:tcPr>
          <w:p w14:paraId="604E4B3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My prior expectations significantly influence my perception of service quality </w:t>
            </w:r>
          </w:p>
        </w:tc>
        <w:tc>
          <w:tcPr>
            <w:tcW w:w="628" w:type="dxa"/>
          </w:tcPr>
          <w:p w14:paraId="70BFDAF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4FB0879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0B78A3D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7B1FE6D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7ED699E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080F8B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5FA8F94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4869" w:type="dxa"/>
          </w:tcPr>
          <w:p w14:paraId="4188820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Disconfirmation beliefs</w:t>
            </w:r>
          </w:p>
        </w:tc>
        <w:tc>
          <w:tcPr>
            <w:tcW w:w="628" w:type="dxa"/>
          </w:tcPr>
          <w:p w14:paraId="3D84897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1E8777A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0EB27A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0388C7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0EA845B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0484BB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1CC8AF1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Db1</w:t>
            </w:r>
          </w:p>
        </w:tc>
        <w:tc>
          <w:tcPr>
            <w:tcW w:w="4869" w:type="dxa"/>
          </w:tcPr>
          <w:p w14:paraId="508ECBD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Confirmation bias affects how I evaluate the quality of service I receive</w:t>
            </w:r>
          </w:p>
        </w:tc>
        <w:tc>
          <w:tcPr>
            <w:tcW w:w="628" w:type="dxa"/>
          </w:tcPr>
          <w:p w14:paraId="585EC97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23BA9E3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3D31D9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5E4E32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05CAA26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3EF97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5838970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Db2</w:t>
            </w:r>
          </w:p>
        </w:tc>
        <w:tc>
          <w:tcPr>
            <w:tcW w:w="4869" w:type="dxa"/>
          </w:tcPr>
          <w:p w14:paraId="3302648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The reputation of the service provider affects the initial quality of the service</w:t>
            </w:r>
          </w:p>
        </w:tc>
        <w:tc>
          <w:tcPr>
            <w:tcW w:w="628" w:type="dxa"/>
          </w:tcPr>
          <w:p w14:paraId="0F77DC7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6CB556D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DDDA68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B5E6BD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23A83D8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6F86E0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045D736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Db3</w:t>
            </w:r>
          </w:p>
        </w:tc>
        <w:tc>
          <w:tcPr>
            <w:tcW w:w="4869" w:type="dxa"/>
          </w:tcPr>
          <w:p w14:paraId="560D122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 It will be easy to address your current views about the service provider</w:t>
            </w:r>
          </w:p>
        </w:tc>
        <w:tc>
          <w:tcPr>
            <w:tcW w:w="628" w:type="dxa"/>
          </w:tcPr>
          <w:p w14:paraId="41CA2B6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5D82882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2778B1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0D1C2D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05B9864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55BDD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58EC641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4869" w:type="dxa"/>
          </w:tcPr>
          <w:p w14:paraId="016B701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 xml:space="preserve">Perceived performance </w:t>
            </w:r>
          </w:p>
        </w:tc>
        <w:tc>
          <w:tcPr>
            <w:tcW w:w="628" w:type="dxa"/>
          </w:tcPr>
          <w:p w14:paraId="58C5FA4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5BAEA69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EF4E71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1AB88E7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6B4548F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66FD9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4084165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Pp1</w:t>
            </w:r>
          </w:p>
        </w:tc>
        <w:tc>
          <w:tcPr>
            <w:tcW w:w="4869" w:type="dxa"/>
          </w:tcPr>
          <w:p w14:paraId="3DB18FA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The perceived performance of the service is influenced by my preconceived notions</w:t>
            </w:r>
          </w:p>
        </w:tc>
        <w:tc>
          <w:tcPr>
            <w:tcW w:w="628" w:type="dxa"/>
          </w:tcPr>
          <w:p w14:paraId="2A80D73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3757542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7989917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3F20A04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495A018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1A31C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56A6763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Pp2</w:t>
            </w:r>
          </w:p>
        </w:tc>
        <w:tc>
          <w:tcPr>
            <w:tcW w:w="4869" w:type="dxa"/>
          </w:tcPr>
          <w:p w14:paraId="2698FB6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The perceived performance of the service is influenced by performance of the service in the recent past</w:t>
            </w:r>
          </w:p>
        </w:tc>
        <w:tc>
          <w:tcPr>
            <w:tcW w:w="628" w:type="dxa"/>
          </w:tcPr>
          <w:p w14:paraId="6EE6F17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751D8CB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4F723D0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0A9E07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5D2344A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r w14:paraId="2D1EF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1" w:type="dxa"/>
          </w:tcPr>
          <w:p w14:paraId="7F10DF4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Pp3</w:t>
            </w:r>
          </w:p>
        </w:tc>
        <w:tc>
          <w:tcPr>
            <w:tcW w:w="4869" w:type="dxa"/>
          </w:tcPr>
          <w:p w14:paraId="6240DA0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It takes short period of time to be served by the workers</w:t>
            </w:r>
          </w:p>
        </w:tc>
        <w:tc>
          <w:tcPr>
            <w:tcW w:w="628" w:type="dxa"/>
          </w:tcPr>
          <w:p w14:paraId="52D7121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625" w:type="dxa"/>
          </w:tcPr>
          <w:p w14:paraId="2E1B51E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408ACED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37" w:type="dxa"/>
          </w:tcPr>
          <w:p w14:paraId="66C829C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c>
          <w:tcPr>
            <w:tcW w:w="523" w:type="dxa"/>
          </w:tcPr>
          <w:p w14:paraId="0DE4641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p>
        </w:tc>
      </w:tr>
    </w:tbl>
    <w:p w14:paraId="3624D627">
      <w:pPr>
        <w:pStyle w:val="7"/>
        <w:pageBreakBefore w:val="0"/>
        <w:kinsoku/>
        <w:wordWrap/>
        <w:overflowPunct/>
        <w:topLinePunct w:val="0"/>
        <w:bidi w:val="0"/>
        <w:snapToGrid/>
        <w:spacing w:beforeAutospacing="0" w:after="0" w:afterAutospacing="0" w:line="360" w:lineRule="auto"/>
        <w:ind w:left="720"/>
        <w:jc w:val="both"/>
        <w:textAlignment w:val="auto"/>
        <w:rPr>
          <w:rFonts w:ascii="Times New Roman" w:hAnsi="Times New Roman" w:cs="Times New Roman"/>
          <w:sz w:val="24"/>
          <w:szCs w:val="24"/>
        </w:rPr>
      </w:pPr>
    </w:p>
    <w:p w14:paraId="60BB14D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szCs w:val="24"/>
        </w:rPr>
      </w:pPr>
    </w:p>
    <w:p w14:paraId="3A06AC2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57F6D9A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4BA5DCE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0879BD3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43DC7D4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4361B6E6">
      <w:pPr>
        <w:pStyle w:val="2"/>
        <w:pageBreakBefore w:val="0"/>
        <w:kinsoku/>
        <w:wordWrap/>
        <w:overflowPunct/>
        <w:topLinePunct w:val="0"/>
        <w:bidi w:val="0"/>
        <w:snapToGrid/>
        <w:spacing w:before="0" w:beforeAutospacing="0" w:after="0" w:afterAutospacing="0" w:line="360" w:lineRule="auto"/>
        <w:textAlignment w:val="auto"/>
        <w:rPr>
          <w:b/>
        </w:rPr>
      </w:pPr>
      <w:bookmarkStart w:id="95" w:name="_Toc27535"/>
      <w:r>
        <w:rPr>
          <w:b/>
        </w:rPr>
        <w:t>APPENDIX II: Interview guide</w:t>
      </w:r>
      <w:bookmarkEnd w:id="95"/>
      <w:r>
        <w:rPr>
          <w:b/>
        </w:rPr>
        <w:t xml:space="preserve"> </w:t>
      </w:r>
    </w:p>
    <w:p w14:paraId="385AA37C">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Briefly explain the purpose of the interview and how the information will be used.</w:t>
      </w:r>
    </w:p>
    <w:p w14:paraId="4BB96BEB">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Assure the participant of confidentiality and their right to withdraw at any time</w:t>
      </w:r>
    </w:p>
    <w:p w14:paraId="6BC48586">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Can you describe your initial expectations when you first began using CRDB Bank’s services?</w:t>
      </w:r>
    </w:p>
    <w:p w14:paraId="56B10539">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Have you ever felt that the services provided by CRDB Bank did not meet your expectations? If so, can you share specific instances?</w:t>
      </w:r>
    </w:p>
    <w:p w14:paraId="3471F930">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In your opinion, do past experiences with CRDB Bank influence how you view their current services? Can you provide examples?</w:t>
      </w:r>
    </w:p>
    <w:p w14:paraId="289B752F">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Do you think your satisfaction with the bank would change if previous experiences were more positive?</w:t>
      </w:r>
    </w:p>
    <w:p w14:paraId="385E57B6">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What specific expectations do you have when you visit or use CRDB Bank’s services?</w:t>
      </w:r>
    </w:p>
    <w:p w14:paraId="544E126A">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How well do you feel CRDB Bank manages your expectations regarding service delivery?</w:t>
      </w:r>
    </w:p>
    <w:p w14:paraId="71CE73E3">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sz w:val="24"/>
        </w:rPr>
      </w:pPr>
      <w:r>
        <w:rPr>
          <w:rFonts w:ascii="Times New Roman" w:hAnsi="Times New Roman" w:cs="Times New Roman"/>
          <w:sz w:val="24"/>
        </w:rPr>
        <w:t>How would you evaluate the overall performance of CRDB Bank in terms of service quality?</w:t>
      </w:r>
    </w:p>
    <w:p w14:paraId="7E316800">
      <w:pPr>
        <w:pStyle w:val="7"/>
        <w:pageBreakBefore w:val="0"/>
        <w:numPr>
          <w:ilvl w:val="0"/>
          <w:numId w:val="5"/>
        </w:numPr>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8"/>
          <w:szCs w:val="24"/>
        </w:rPr>
      </w:pPr>
      <w:r>
        <w:rPr>
          <w:rFonts w:ascii="Times New Roman" w:hAnsi="Times New Roman" w:cs="Times New Roman"/>
          <w:sz w:val="24"/>
        </w:rPr>
        <w:t>Do you believe that recent changes in CRDB Bank’s services (e.g., new technology, staff changes) have affected your perception of their performance? How so?</w:t>
      </w:r>
    </w:p>
    <w:p w14:paraId="6D761F4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0888E7E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0BEDD99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647A2D2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073AA57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2FA62E8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45B0F74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04E7598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0AAA483E">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96" w:name="_Toc9654"/>
      <w:bookmarkStart w:id="97" w:name="_Toc173119386"/>
      <w:r>
        <w:rPr>
          <w:b/>
        </w:rPr>
        <w:t xml:space="preserve">APPENDIX </w:t>
      </w:r>
      <w:r>
        <w:rPr>
          <w:rFonts w:hint="default"/>
          <w:b/>
          <w:lang w:val="en-US"/>
        </w:rPr>
        <w:t xml:space="preserve">III: </w:t>
      </w:r>
      <w:r>
        <w:rPr>
          <w:b/>
        </w:rPr>
        <w:t>RESEARCH SCHEDULE</w:t>
      </w:r>
      <w:bookmarkEnd w:id="96"/>
      <w:bookmarkEnd w:id="97"/>
    </w:p>
    <w:tbl>
      <w:tblPr>
        <w:tblStyle w:val="13"/>
        <w:tblW w:w="10440" w:type="dxa"/>
        <w:tblInd w:w="-108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0"/>
        <w:gridCol w:w="1800"/>
        <w:gridCol w:w="1530"/>
        <w:gridCol w:w="1350"/>
        <w:gridCol w:w="1530"/>
        <w:gridCol w:w="2700"/>
      </w:tblGrid>
      <w:tr w14:paraId="4D68B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1530" w:type="dxa"/>
          </w:tcPr>
          <w:p w14:paraId="248B041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Stage</w:t>
            </w:r>
          </w:p>
        </w:tc>
        <w:tc>
          <w:tcPr>
            <w:tcW w:w="1800" w:type="dxa"/>
          </w:tcPr>
          <w:p w14:paraId="35A14FE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 xml:space="preserve">Activity </w:t>
            </w:r>
          </w:p>
        </w:tc>
        <w:tc>
          <w:tcPr>
            <w:tcW w:w="1530" w:type="dxa"/>
          </w:tcPr>
          <w:p w14:paraId="321C32A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Estimated duration</w:t>
            </w:r>
          </w:p>
        </w:tc>
        <w:tc>
          <w:tcPr>
            <w:tcW w:w="1350" w:type="dxa"/>
          </w:tcPr>
          <w:p w14:paraId="3B2C98C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Start date</w:t>
            </w:r>
          </w:p>
        </w:tc>
        <w:tc>
          <w:tcPr>
            <w:tcW w:w="1530" w:type="dxa"/>
          </w:tcPr>
          <w:p w14:paraId="29915BE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End date</w:t>
            </w:r>
          </w:p>
        </w:tc>
        <w:tc>
          <w:tcPr>
            <w:tcW w:w="2700" w:type="dxa"/>
          </w:tcPr>
          <w:p w14:paraId="7B91C60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deliverable</w:t>
            </w:r>
          </w:p>
        </w:tc>
      </w:tr>
      <w:tr w14:paraId="0DE97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trPr>
        <w:tc>
          <w:tcPr>
            <w:tcW w:w="1530" w:type="dxa"/>
          </w:tcPr>
          <w:p w14:paraId="6C5E47E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Research design</w:t>
            </w:r>
          </w:p>
        </w:tc>
        <w:tc>
          <w:tcPr>
            <w:tcW w:w="1800" w:type="dxa"/>
          </w:tcPr>
          <w:p w14:paraId="1CF7BBA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Finalize research problem/ question</w:t>
            </w:r>
          </w:p>
        </w:tc>
        <w:tc>
          <w:tcPr>
            <w:tcW w:w="1530" w:type="dxa"/>
          </w:tcPr>
          <w:p w14:paraId="3CA1243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2weeks</w:t>
            </w:r>
          </w:p>
        </w:tc>
        <w:tc>
          <w:tcPr>
            <w:tcW w:w="1350" w:type="dxa"/>
          </w:tcPr>
          <w:p w14:paraId="6729038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1\9\2023</w:t>
            </w:r>
          </w:p>
        </w:tc>
        <w:tc>
          <w:tcPr>
            <w:tcW w:w="1530" w:type="dxa"/>
          </w:tcPr>
          <w:p w14:paraId="0F03E26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15\9\2023</w:t>
            </w:r>
          </w:p>
        </w:tc>
        <w:tc>
          <w:tcPr>
            <w:tcW w:w="2700" w:type="dxa"/>
          </w:tcPr>
          <w:p w14:paraId="39EBB4F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Confirmed research problem/questions</w:t>
            </w:r>
          </w:p>
        </w:tc>
      </w:tr>
      <w:tr w14:paraId="491A41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4" w:hRule="atLeast"/>
        </w:trPr>
        <w:tc>
          <w:tcPr>
            <w:tcW w:w="1530" w:type="dxa"/>
          </w:tcPr>
          <w:p w14:paraId="06BD7DF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7AA2EEC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Develop research design</w:t>
            </w:r>
          </w:p>
        </w:tc>
        <w:tc>
          <w:tcPr>
            <w:tcW w:w="1530" w:type="dxa"/>
          </w:tcPr>
          <w:p w14:paraId="2F816B3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2weeks</w:t>
            </w:r>
          </w:p>
        </w:tc>
        <w:tc>
          <w:tcPr>
            <w:tcW w:w="1350" w:type="dxa"/>
          </w:tcPr>
          <w:p w14:paraId="1201355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10/9/2023</w:t>
            </w:r>
          </w:p>
        </w:tc>
        <w:tc>
          <w:tcPr>
            <w:tcW w:w="1530" w:type="dxa"/>
          </w:tcPr>
          <w:p w14:paraId="6803E66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24/9/2023</w:t>
            </w:r>
          </w:p>
        </w:tc>
        <w:tc>
          <w:tcPr>
            <w:tcW w:w="2700" w:type="dxa"/>
          </w:tcPr>
          <w:p w14:paraId="344BAAD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Draft research design section for final report</w:t>
            </w:r>
          </w:p>
        </w:tc>
      </w:tr>
      <w:tr w14:paraId="2F91F2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trPr>
        <w:tc>
          <w:tcPr>
            <w:tcW w:w="1530" w:type="dxa"/>
          </w:tcPr>
          <w:p w14:paraId="19F22BB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5929D3F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Prepare research proposal</w:t>
            </w:r>
          </w:p>
        </w:tc>
        <w:tc>
          <w:tcPr>
            <w:tcW w:w="1530" w:type="dxa"/>
          </w:tcPr>
          <w:p w14:paraId="6D8E1B9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3months</w:t>
            </w:r>
          </w:p>
        </w:tc>
        <w:tc>
          <w:tcPr>
            <w:tcW w:w="1350" w:type="dxa"/>
          </w:tcPr>
          <w:p w14:paraId="33A9E4A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1/9/2023</w:t>
            </w:r>
          </w:p>
        </w:tc>
        <w:tc>
          <w:tcPr>
            <w:tcW w:w="1530" w:type="dxa"/>
          </w:tcPr>
          <w:p w14:paraId="3C70B19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3/11/2023</w:t>
            </w:r>
          </w:p>
        </w:tc>
        <w:tc>
          <w:tcPr>
            <w:tcW w:w="2700" w:type="dxa"/>
          </w:tcPr>
          <w:p w14:paraId="509625E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Research proposal/ethical approval submission</w:t>
            </w:r>
          </w:p>
        </w:tc>
      </w:tr>
      <w:tr w14:paraId="5DD7AC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1530" w:type="dxa"/>
          </w:tcPr>
          <w:p w14:paraId="6A45F7A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Literature review</w:t>
            </w:r>
          </w:p>
        </w:tc>
        <w:tc>
          <w:tcPr>
            <w:tcW w:w="1800" w:type="dxa"/>
          </w:tcPr>
          <w:p w14:paraId="5DC4507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Search, capture and synthesis relevant literature </w:t>
            </w:r>
          </w:p>
        </w:tc>
        <w:tc>
          <w:tcPr>
            <w:tcW w:w="1530" w:type="dxa"/>
          </w:tcPr>
          <w:p w14:paraId="7008319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2weeks</w:t>
            </w:r>
          </w:p>
        </w:tc>
        <w:tc>
          <w:tcPr>
            <w:tcW w:w="1350" w:type="dxa"/>
          </w:tcPr>
          <w:p w14:paraId="29B61A3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1/2/2024</w:t>
            </w:r>
          </w:p>
        </w:tc>
        <w:tc>
          <w:tcPr>
            <w:tcW w:w="1530" w:type="dxa"/>
          </w:tcPr>
          <w:p w14:paraId="6A18CEB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15/2/2024</w:t>
            </w:r>
          </w:p>
        </w:tc>
        <w:tc>
          <w:tcPr>
            <w:tcW w:w="2700" w:type="dxa"/>
          </w:tcPr>
          <w:p w14:paraId="59E8E3D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Notes and other output from the review process</w:t>
            </w:r>
          </w:p>
        </w:tc>
      </w:tr>
      <w:tr w14:paraId="6F1F90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4" w:hRule="atLeast"/>
        </w:trPr>
        <w:tc>
          <w:tcPr>
            <w:tcW w:w="1530" w:type="dxa"/>
          </w:tcPr>
          <w:p w14:paraId="022E044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5473C36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Prepare draft literature review</w:t>
            </w:r>
          </w:p>
        </w:tc>
        <w:tc>
          <w:tcPr>
            <w:tcW w:w="1530" w:type="dxa"/>
          </w:tcPr>
          <w:p w14:paraId="24D9708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3weeks</w:t>
            </w:r>
          </w:p>
        </w:tc>
        <w:tc>
          <w:tcPr>
            <w:tcW w:w="1350" w:type="dxa"/>
          </w:tcPr>
          <w:p w14:paraId="142E800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10/2/2024</w:t>
            </w:r>
          </w:p>
        </w:tc>
        <w:tc>
          <w:tcPr>
            <w:tcW w:w="1530" w:type="dxa"/>
          </w:tcPr>
          <w:p w14:paraId="4ED495F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4/3/2024</w:t>
            </w:r>
          </w:p>
        </w:tc>
        <w:tc>
          <w:tcPr>
            <w:tcW w:w="2700" w:type="dxa"/>
          </w:tcPr>
          <w:p w14:paraId="7442237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Draft literature review section for final report</w:t>
            </w:r>
          </w:p>
        </w:tc>
      </w:tr>
      <w:tr w14:paraId="49479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1530" w:type="dxa"/>
          </w:tcPr>
          <w:p w14:paraId="2AF304B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Data collection</w:t>
            </w:r>
          </w:p>
        </w:tc>
        <w:tc>
          <w:tcPr>
            <w:tcW w:w="1800" w:type="dxa"/>
          </w:tcPr>
          <w:p w14:paraId="3539400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Finalize sampling plan </w:t>
            </w:r>
          </w:p>
        </w:tc>
        <w:tc>
          <w:tcPr>
            <w:tcW w:w="1530" w:type="dxa"/>
          </w:tcPr>
          <w:p w14:paraId="5B4B569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1week</w:t>
            </w:r>
          </w:p>
        </w:tc>
        <w:tc>
          <w:tcPr>
            <w:tcW w:w="1350" w:type="dxa"/>
          </w:tcPr>
          <w:p w14:paraId="31B110E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2/4/2024</w:t>
            </w:r>
          </w:p>
        </w:tc>
        <w:tc>
          <w:tcPr>
            <w:tcW w:w="1530" w:type="dxa"/>
          </w:tcPr>
          <w:p w14:paraId="7DC1A21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9/4/2024</w:t>
            </w:r>
          </w:p>
        </w:tc>
        <w:tc>
          <w:tcPr>
            <w:tcW w:w="2700" w:type="dxa"/>
          </w:tcPr>
          <w:p w14:paraId="33A5689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Sampling plan</w:t>
            </w:r>
          </w:p>
        </w:tc>
      </w:tr>
      <w:tr w14:paraId="48EFF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1530" w:type="dxa"/>
          </w:tcPr>
          <w:p w14:paraId="0D7EE30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6CFEB4B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Develop data collection instrument </w:t>
            </w:r>
          </w:p>
        </w:tc>
        <w:tc>
          <w:tcPr>
            <w:tcW w:w="1530" w:type="dxa"/>
          </w:tcPr>
          <w:p w14:paraId="6DA81F2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1week</w:t>
            </w:r>
          </w:p>
        </w:tc>
        <w:tc>
          <w:tcPr>
            <w:tcW w:w="1350" w:type="dxa"/>
          </w:tcPr>
          <w:p w14:paraId="1819DFC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12/4/2024</w:t>
            </w:r>
          </w:p>
        </w:tc>
        <w:tc>
          <w:tcPr>
            <w:tcW w:w="1530" w:type="dxa"/>
          </w:tcPr>
          <w:p w14:paraId="53C0A34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14/4/2024</w:t>
            </w:r>
          </w:p>
        </w:tc>
        <w:tc>
          <w:tcPr>
            <w:tcW w:w="2700" w:type="dxa"/>
          </w:tcPr>
          <w:p w14:paraId="49AA3B1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Draft data collection instrument</w:t>
            </w:r>
          </w:p>
        </w:tc>
      </w:tr>
      <w:tr w14:paraId="51508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1530" w:type="dxa"/>
          </w:tcPr>
          <w:p w14:paraId="3FD68B8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3647B98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Pre-test /pilot data collection</w:t>
            </w:r>
          </w:p>
        </w:tc>
        <w:tc>
          <w:tcPr>
            <w:tcW w:w="1530" w:type="dxa"/>
          </w:tcPr>
          <w:p w14:paraId="19781C0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2weeks</w:t>
            </w:r>
          </w:p>
        </w:tc>
        <w:tc>
          <w:tcPr>
            <w:tcW w:w="1350" w:type="dxa"/>
          </w:tcPr>
          <w:p w14:paraId="534CBF5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3/5/2024</w:t>
            </w:r>
          </w:p>
        </w:tc>
        <w:tc>
          <w:tcPr>
            <w:tcW w:w="1530" w:type="dxa"/>
          </w:tcPr>
          <w:p w14:paraId="43DDC95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17/5/2024</w:t>
            </w:r>
          </w:p>
        </w:tc>
        <w:tc>
          <w:tcPr>
            <w:tcW w:w="2700" w:type="dxa"/>
          </w:tcPr>
          <w:p w14:paraId="5F8AFE5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 xml:space="preserve">Finalized data collection instrument </w:t>
            </w:r>
          </w:p>
        </w:tc>
      </w:tr>
      <w:tr w14:paraId="2659D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1530" w:type="dxa"/>
          </w:tcPr>
          <w:p w14:paraId="40A0AB8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559EB71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Carry out data collection</w:t>
            </w:r>
          </w:p>
        </w:tc>
        <w:tc>
          <w:tcPr>
            <w:tcW w:w="1530" w:type="dxa"/>
          </w:tcPr>
          <w:p w14:paraId="19CB23D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3weeks</w:t>
            </w:r>
          </w:p>
        </w:tc>
        <w:tc>
          <w:tcPr>
            <w:tcW w:w="1350" w:type="dxa"/>
          </w:tcPr>
          <w:p w14:paraId="739F600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20/8/2024</w:t>
            </w:r>
          </w:p>
        </w:tc>
        <w:tc>
          <w:tcPr>
            <w:tcW w:w="1530" w:type="dxa"/>
          </w:tcPr>
          <w:p w14:paraId="4351FFF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16/9/2024</w:t>
            </w:r>
          </w:p>
        </w:tc>
        <w:tc>
          <w:tcPr>
            <w:tcW w:w="2700" w:type="dxa"/>
          </w:tcPr>
          <w:p w14:paraId="07D18A4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Raw data</w:t>
            </w:r>
          </w:p>
        </w:tc>
      </w:tr>
      <w:tr w14:paraId="21BE5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1530" w:type="dxa"/>
          </w:tcPr>
          <w:p w14:paraId="4200795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5E3D6B0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Write up data collection</w:t>
            </w:r>
          </w:p>
        </w:tc>
        <w:tc>
          <w:tcPr>
            <w:tcW w:w="1530" w:type="dxa"/>
          </w:tcPr>
          <w:p w14:paraId="5EA0C6E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3weeks</w:t>
            </w:r>
          </w:p>
        </w:tc>
        <w:tc>
          <w:tcPr>
            <w:tcW w:w="1350" w:type="dxa"/>
          </w:tcPr>
          <w:p w14:paraId="551F7FB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18/9/2024</w:t>
            </w:r>
          </w:p>
        </w:tc>
        <w:tc>
          <w:tcPr>
            <w:tcW w:w="1530" w:type="dxa"/>
          </w:tcPr>
          <w:p w14:paraId="3B07DEB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4/10/2024</w:t>
            </w:r>
          </w:p>
        </w:tc>
        <w:tc>
          <w:tcPr>
            <w:tcW w:w="2700" w:type="dxa"/>
          </w:tcPr>
          <w:p w14:paraId="485C959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draft data collection section for final report</w:t>
            </w:r>
          </w:p>
        </w:tc>
      </w:tr>
      <w:tr w14:paraId="373E74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3" w:hRule="atLeast"/>
        </w:trPr>
        <w:tc>
          <w:tcPr>
            <w:tcW w:w="1530" w:type="dxa"/>
          </w:tcPr>
          <w:p w14:paraId="35F9D5F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Data analysis</w:t>
            </w:r>
          </w:p>
        </w:tc>
        <w:tc>
          <w:tcPr>
            <w:tcW w:w="1800" w:type="dxa"/>
          </w:tcPr>
          <w:p w14:paraId="2CEDD0C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Prepare data for analysis</w:t>
            </w:r>
          </w:p>
        </w:tc>
        <w:tc>
          <w:tcPr>
            <w:tcW w:w="1530" w:type="dxa"/>
          </w:tcPr>
          <w:p w14:paraId="5BFCBCA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2weeks</w:t>
            </w:r>
          </w:p>
        </w:tc>
        <w:tc>
          <w:tcPr>
            <w:tcW w:w="1350" w:type="dxa"/>
          </w:tcPr>
          <w:p w14:paraId="1FC0684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5/10/2024</w:t>
            </w:r>
          </w:p>
        </w:tc>
        <w:tc>
          <w:tcPr>
            <w:tcW w:w="1530" w:type="dxa"/>
          </w:tcPr>
          <w:p w14:paraId="518953A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16/10/2024</w:t>
            </w:r>
          </w:p>
        </w:tc>
        <w:tc>
          <w:tcPr>
            <w:tcW w:w="2700" w:type="dxa"/>
          </w:tcPr>
          <w:p w14:paraId="2993F95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Data ready (eg. Interview transcript) for analysis</w:t>
            </w:r>
          </w:p>
        </w:tc>
      </w:tr>
      <w:tr w14:paraId="4B5919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trPr>
        <w:tc>
          <w:tcPr>
            <w:tcW w:w="1530" w:type="dxa"/>
          </w:tcPr>
          <w:p w14:paraId="51A84E3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1433493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Analyze data</w:t>
            </w:r>
          </w:p>
        </w:tc>
        <w:tc>
          <w:tcPr>
            <w:tcW w:w="1530" w:type="dxa"/>
          </w:tcPr>
          <w:p w14:paraId="57DAEC7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2weeks</w:t>
            </w:r>
          </w:p>
        </w:tc>
        <w:tc>
          <w:tcPr>
            <w:tcW w:w="1350" w:type="dxa"/>
          </w:tcPr>
          <w:p w14:paraId="6F9C727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17/10/2024</w:t>
            </w:r>
          </w:p>
        </w:tc>
        <w:tc>
          <w:tcPr>
            <w:tcW w:w="1530" w:type="dxa"/>
          </w:tcPr>
          <w:p w14:paraId="2E3E65B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30/10/2024</w:t>
            </w:r>
          </w:p>
        </w:tc>
        <w:tc>
          <w:tcPr>
            <w:tcW w:w="2700" w:type="dxa"/>
          </w:tcPr>
          <w:p w14:paraId="7ED7D3F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Notes and other output from analysis</w:t>
            </w:r>
          </w:p>
        </w:tc>
      </w:tr>
      <w:tr w14:paraId="0317C5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1530" w:type="dxa"/>
          </w:tcPr>
          <w:p w14:paraId="48D0B63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2EA820B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Draw conclusion/recommendations</w:t>
            </w:r>
          </w:p>
        </w:tc>
        <w:tc>
          <w:tcPr>
            <w:tcW w:w="1530" w:type="dxa"/>
          </w:tcPr>
          <w:p w14:paraId="15D0A01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 days</w:t>
            </w:r>
          </w:p>
        </w:tc>
        <w:tc>
          <w:tcPr>
            <w:tcW w:w="1350" w:type="dxa"/>
          </w:tcPr>
          <w:p w14:paraId="350101F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1/11/2024</w:t>
            </w:r>
          </w:p>
        </w:tc>
        <w:tc>
          <w:tcPr>
            <w:tcW w:w="1530" w:type="dxa"/>
          </w:tcPr>
          <w:p w14:paraId="523A4BE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3/11/2024</w:t>
            </w:r>
          </w:p>
        </w:tc>
        <w:tc>
          <w:tcPr>
            <w:tcW w:w="2700" w:type="dxa"/>
          </w:tcPr>
          <w:p w14:paraId="17252CF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Draft data analysis and findings section final report</w:t>
            </w:r>
          </w:p>
        </w:tc>
      </w:tr>
      <w:tr w14:paraId="02204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trPr>
        <w:tc>
          <w:tcPr>
            <w:tcW w:w="1530" w:type="dxa"/>
          </w:tcPr>
          <w:p w14:paraId="2F265B6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Writing up</w:t>
            </w:r>
          </w:p>
        </w:tc>
        <w:tc>
          <w:tcPr>
            <w:tcW w:w="1800" w:type="dxa"/>
          </w:tcPr>
          <w:p w14:paraId="2E92D53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Final draft of report</w:t>
            </w:r>
          </w:p>
        </w:tc>
        <w:tc>
          <w:tcPr>
            <w:tcW w:w="1530" w:type="dxa"/>
          </w:tcPr>
          <w:p w14:paraId="13EBB56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1week</w:t>
            </w:r>
          </w:p>
        </w:tc>
        <w:tc>
          <w:tcPr>
            <w:tcW w:w="1350" w:type="dxa"/>
          </w:tcPr>
          <w:p w14:paraId="47932A4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4/11/2024</w:t>
            </w:r>
          </w:p>
        </w:tc>
        <w:tc>
          <w:tcPr>
            <w:tcW w:w="1530" w:type="dxa"/>
          </w:tcPr>
          <w:p w14:paraId="1277F9C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11/11/2024</w:t>
            </w:r>
          </w:p>
        </w:tc>
        <w:tc>
          <w:tcPr>
            <w:tcW w:w="2700" w:type="dxa"/>
          </w:tcPr>
          <w:p w14:paraId="4AF399E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Final draft</w:t>
            </w:r>
          </w:p>
        </w:tc>
      </w:tr>
      <w:tr w14:paraId="22CFA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trPr>
        <w:tc>
          <w:tcPr>
            <w:tcW w:w="1530" w:type="dxa"/>
          </w:tcPr>
          <w:p w14:paraId="555C549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4BD2C0F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Review draft with supervisor</w:t>
            </w:r>
          </w:p>
        </w:tc>
        <w:tc>
          <w:tcPr>
            <w:tcW w:w="1530" w:type="dxa"/>
          </w:tcPr>
          <w:p w14:paraId="2F54206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 day</w:t>
            </w:r>
          </w:p>
        </w:tc>
        <w:tc>
          <w:tcPr>
            <w:tcW w:w="1350" w:type="dxa"/>
          </w:tcPr>
          <w:p w14:paraId="306F219A">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12/11/2024</w:t>
            </w:r>
          </w:p>
        </w:tc>
        <w:tc>
          <w:tcPr>
            <w:tcW w:w="1530" w:type="dxa"/>
          </w:tcPr>
          <w:p w14:paraId="726CAF1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13/11/2024</w:t>
            </w:r>
          </w:p>
        </w:tc>
        <w:tc>
          <w:tcPr>
            <w:tcW w:w="2700" w:type="dxa"/>
          </w:tcPr>
          <w:p w14:paraId="4FAD420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Notes of feedback</w:t>
            </w:r>
          </w:p>
        </w:tc>
      </w:tr>
      <w:tr w14:paraId="66FDD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1530" w:type="dxa"/>
          </w:tcPr>
          <w:p w14:paraId="674F5F2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0961319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Final editing</w:t>
            </w:r>
          </w:p>
        </w:tc>
        <w:tc>
          <w:tcPr>
            <w:tcW w:w="1530" w:type="dxa"/>
          </w:tcPr>
          <w:p w14:paraId="79B3FF2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 day</w:t>
            </w:r>
          </w:p>
        </w:tc>
        <w:tc>
          <w:tcPr>
            <w:tcW w:w="1350" w:type="dxa"/>
          </w:tcPr>
          <w:p w14:paraId="0150F7F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14/11/2024</w:t>
            </w:r>
          </w:p>
        </w:tc>
        <w:tc>
          <w:tcPr>
            <w:tcW w:w="1530" w:type="dxa"/>
          </w:tcPr>
          <w:p w14:paraId="52BB1519">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15/11/2024</w:t>
            </w:r>
          </w:p>
        </w:tc>
        <w:tc>
          <w:tcPr>
            <w:tcW w:w="2700" w:type="dxa"/>
          </w:tcPr>
          <w:p w14:paraId="6CCF415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Final report</w:t>
            </w:r>
          </w:p>
        </w:tc>
      </w:tr>
      <w:tr w14:paraId="380AAC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trPr>
        <w:tc>
          <w:tcPr>
            <w:tcW w:w="1530" w:type="dxa"/>
          </w:tcPr>
          <w:p w14:paraId="14EAFE7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p>
        </w:tc>
        <w:tc>
          <w:tcPr>
            <w:tcW w:w="1800" w:type="dxa"/>
          </w:tcPr>
          <w:p w14:paraId="46F9C4C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Printing, binding and final submission</w:t>
            </w:r>
          </w:p>
        </w:tc>
        <w:tc>
          <w:tcPr>
            <w:tcW w:w="1530" w:type="dxa"/>
          </w:tcPr>
          <w:p w14:paraId="3BC5A31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 day</w:t>
            </w:r>
          </w:p>
        </w:tc>
        <w:tc>
          <w:tcPr>
            <w:tcW w:w="1350" w:type="dxa"/>
          </w:tcPr>
          <w:p w14:paraId="7052BF4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16/11/2024</w:t>
            </w:r>
          </w:p>
        </w:tc>
        <w:tc>
          <w:tcPr>
            <w:tcW w:w="1530" w:type="dxa"/>
          </w:tcPr>
          <w:p w14:paraId="2D5BD67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17/11/2024</w:t>
            </w:r>
          </w:p>
        </w:tc>
        <w:tc>
          <w:tcPr>
            <w:tcW w:w="2700" w:type="dxa"/>
          </w:tcPr>
          <w:p w14:paraId="3DE34D4E">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Final submission of report</w:t>
            </w:r>
          </w:p>
        </w:tc>
      </w:tr>
    </w:tbl>
    <w:p w14:paraId="1A62AA6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7DD8839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71DB9675">
      <w:pPr>
        <w:pStyle w:val="2"/>
        <w:pageBreakBefore w:val="0"/>
        <w:kinsoku/>
        <w:wordWrap/>
        <w:overflowPunct/>
        <w:topLinePunct w:val="0"/>
        <w:bidi w:val="0"/>
        <w:snapToGrid/>
        <w:spacing w:before="0" w:beforeAutospacing="0" w:after="0" w:afterAutospacing="0" w:line="360" w:lineRule="auto"/>
        <w:textAlignment w:val="auto"/>
      </w:pPr>
    </w:p>
    <w:p w14:paraId="595BE63E">
      <w:pPr>
        <w:pageBreakBefore w:val="0"/>
        <w:kinsoku/>
        <w:wordWrap/>
        <w:overflowPunct/>
        <w:topLinePunct w:val="0"/>
        <w:bidi w:val="0"/>
        <w:snapToGrid/>
        <w:spacing w:beforeAutospacing="0" w:after="0" w:afterAutospacing="0" w:line="360" w:lineRule="auto"/>
        <w:textAlignment w:val="auto"/>
      </w:pPr>
    </w:p>
    <w:p w14:paraId="4406491D">
      <w:pPr>
        <w:pageBreakBefore w:val="0"/>
        <w:kinsoku/>
        <w:wordWrap/>
        <w:overflowPunct/>
        <w:topLinePunct w:val="0"/>
        <w:bidi w:val="0"/>
        <w:snapToGrid/>
        <w:spacing w:beforeAutospacing="0" w:after="0" w:afterAutospacing="0" w:line="360" w:lineRule="auto"/>
        <w:textAlignment w:val="auto"/>
      </w:pPr>
    </w:p>
    <w:p w14:paraId="0AB0C6A7">
      <w:pPr>
        <w:pageBreakBefore w:val="0"/>
        <w:kinsoku/>
        <w:wordWrap/>
        <w:overflowPunct/>
        <w:topLinePunct w:val="0"/>
        <w:bidi w:val="0"/>
        <w:snapToGrid/>
        <w:spacing w:beforeAutospacing="0" w:after="0" w:afterAutospacing="0" w:line="360" w:lineRule="auto"/>
        <w:textAlignment w:val="auto"/>
      </w:pPr>
    </w:p>
    <w:p w14:paraId="48EAA8CE">
      <w:pPr>
        <w:pageBreakBefore w:val="0"/>
        <w:kinsoku/>
        <w:wordWrap/>
        <w:overflowPunct/>
        <w:topLinePunct w:val="0"/>
        <w:bidi w:val="0"/>
        <w:snapToGrid/>
        <w:spacing w:beforeAutospacing="0" w:after="0" w:afterAutospacing="0" w:line="360" w:lineRule="auto"/>
        <w:textAlignment w:val="auto"/>
      </w:pPr>
    </w:p>
    <w:p w14:paraId="321E1CA1">
      <w:pPr>
        <w:pageBreakBefore w:val="0"/>
        <w:kinsoku/>
        <w:wordWrap/>
        <w:overflowPunct/>
        <w:topLinePunct w:val="0"/>
        <w:bidi w:val="0"/>
        <w:snapToGrid/>
        <w:spacing w:beforeAutospacing="0" w:after="0" w:afterAutospacing="0" w:line="360" w:lineRule="auto"/>
        <w:textAlignment w:val="auto"/>
      </w:pPr>
    </w:p>
    <w:p w14:paraId="0EB4F6F3">
      <w:pPr>
        <w:pageBreakBefore w:val="0"/>
        <w:kinsoku/>
        <w:wordWrap/>
        <w:overflowPunct/>
        <w:topLinePunct w:val="0"/>
        <w:bidi w:val="0"/>
        <w:snapToGrid/>
        <w:spacing w:beforeAutospacing="0" w:after="0" w:afterAutospacing="0" w:line="360" w:lineRule="auto"/>
        <w:textAlignment w:val="auto"/>
      </w:pPr>
    </w:p>
    <w:p w14:paraId="419CE66D">
      <w:pPr>
        <w:pageBreakBefore w:val="0"/>
        <w:kinsoku/>
        <w:wordWrap/>
        <w:overflowPunct/>
        <w:topLinePunct w:val="0"/>
        <w:bidi w:val="0"/>
        <w:snapToGrid/>
        <w:spacing w:beforeAutospacing="0" w:after="0" w:afterAutospacing="0" w:line="360" w:lineRule="auto"/>
        <w:textAlignment w:val="auto"/>
      </w:pPr>
    </w:p>
    <w:p w14:paraId="60D261F6">
      <w:pPr>
        <w:pageBreakBefore w:val="0"/>
        <w:kinsoku/>
        <w:wordWrap/>
        <w:overflowPunct/>
        <w:topLinePunct w:val="0"/>
        <w:bidi w:val="0"/>
        <w:snapToGrid/>
        <w:spacing w:beforeAutospacing="0" w:after="0" w:afterAutospacing="0" w:line="360" w:lineRule="auto"/>
        <w:textAlignment w:val="auto"/>
      </w:pPr>
    </w:p>
    <w:p w14:paraId="0A6D3F70">
      <w:pPr>
        <w:pageBreakBefore w:val="0"/>
        <w:kinsoku/>
        <w:wordWrap/>
        <w:overflowPunct/>
        <w:topLinePunct w:val="0"/>
        <w:bidi w:val="0"/>
        <w:snapToGrid/>
        <w:spacing w:beforeAutospacing="0" w:after="0" w:afterAutospacing="0" w:line="360" w:lineRule="auto"/>
        <w:textAlignment w:val="auto"/>
      </w:pPr>
    </w:p>
    <w:p w14:paraId="2BE1B1FF">
      <w:pPr>
        <w:pageBreakBefore w:val="0"/>
        <w:kinsoku/>
        <w:wordWrap/>
        <w:overflowPunct/>
        <w:topLinePunct w:val="0"/>
        <w:bidi w:val="0"/>
        <w:snapToGrid/>
        <w:spacing w:beforeAutospacing="0" w:after="0" w:afterAutospacing="0" w:line="360" w:lineRule="auto"/>
        <w:textAlignment w:val="auto"/>
      </w:pPr>
    </w:p>
    <w:p w14:paraId="3EFE927D">
      <w:pPr>
        <w:pageBreakBefore w:val="0"/>
        <w:kinsoku/>
        <w:wordWrap/>
        <w:overflowPunct/>
        <w:topLinePunct w:val="0"/>
        <w:bidi w:val="0"/>
        <w:snapToGrid/>
        <w:spacing w:beforeAutospacing="0" w:after="0" w:afterAutospacing="0" w:line="360" w:lineRule="auto"/>
        <w:textAlignment w:val="auto"/>
      </w:pPr>
    </w:p>
    <w:p w14:paraId="0071B641">
      <w:pPr>
        <w:pageBreakBefore w:val="0"/>
        <w:kinsoku/>
        <w:wordWrap/>
        <w:overflowPunct/>
        <w:topLinePunct w:val="0"/>
        <w:bidi w:val="0"/>
        <w:snapToGrid/>
        <w:spacing w:beforeAutospacing="0" w:after="0" w:afterAutospacing="0" w:line="360" w:lineRule="auto"/>
        <w:textAlignment w:val="auto"/>
      </w:pPr>
    </w:p>
    <w:p w14:paraId="591FB953">
      <w:pPr>
        <w:pageBreakBefore w:val="0"/>
        <w:kinsoku/>
        <w:wordWrap/>
        <w:overflowPunct/>
        <w:topLinePunct w:val="0"/>
        <w:bidi w:val="0"/>
        <w:snapToGrid/>
        <w:spacing w:beforeAutospacing="0" w:after="0" w:afterAutospacing="0" w:line="360" w:lineRule="auto"/>
        <w:textAlignment w:val="auto"/>
      </w:pPr>
    </w:p>
    <w:p w14:paraId="362AC9D0">
      <w:pPr>
        <w:pageBreakBefore w:val="0"/>
        <w:kinsoku/>
        <w:wordWrap/>
        <w:overflowPunct/>
        <w:topLinePunct w:val="0"/>
        <w:bidi w:val="0"/>
        <w:snapToGrid/>
        <w:spacing w:beforeAutospacing="0" w:after="0" w:afterAutospacing="0" w:line="360" w:lineRule="auto"/>
        <w:textAlignment w:val="auto"/>
      </w:pPr>
    </w:p>
    <w:p w14:paraId="470B237D">
      <w:pPr>
        <w:pStyle w:val="2"/>
        <w:pageBreakBefore w:val="0"/>
        <w:kinsoku/>
        <w:wordWrap/>
        <w:overflowPunct/>
        <w:topLinePunct w:val="0"/>
        <w:bidi w:val="0"/>
        <w:snapToGrid/>
        <w:spacing w:before="0" w:beforeAutospacing="0" w:after="0" w:afterAutospacing="0" w:line="360" w:lineRule="auto"/>
        <w:jc w:val="center"/>
        <w:textAlignment w:val="auto"/>
        <w:rPr>
          <w:b/>
        </w:rPr>
      </w:pPr>
      <w:bookmarkStart w:id="98" w:name="_Toc6418"/>
      <w:r>
        <w:rPr>
          <w:b/>
        </w:rPr>
        <w:t xml:space="preserve">APPENDIX </w:t>
      </w:r>
      <w:r>
        <w:rPr>
          <w:rFonts w:hint="default"/>
          <w:b/>
          <w:lang w:val="en-US"/>
        </w:rPr>
        <w:t xml:space="preserve">IV: </w:t>
      </w:r>
      <w:r>
        <w:rPr>
          <w:b/>
        </w:rPr>
        <w:t>RESEARCH BUDGET</w:t>
      </w:r>
      <w:bookmarkEnd w:id="98"/>
    </w:p>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36"/>
        <w:gridCol w:w="4178"/>
      </w:tblGrid>
      <w:tr w14:paraId="1517D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2472426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Category</w:t>
            </w:r>
          </w:p>
        </w:tc>
        <w:tc>
          <w:tcPr>
            <w:tcW w:w="4675" w:type="dxa"/>
          </w:tcPr>
          <w:p w14:paraId="132EC4A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Estimated cost</w:t>
            </w:r>
          </w:p>
        </w:tc>
      </w:tr>
      <w:tr w14:paraId="16CE9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585838B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Personnel</w:t>
            </w:r>
          </w:p>
        </w:tc>
        <w:tc>
          <w:tcPr>
            <w:tcW w:w="4675" w:type="dxa"/>
          </w:tcPr>
          <w:p w14:paraId="4AEC1483">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300,000</w:t>
            </w:r>
          </w:p>
        </w:tc>
      </w:tr>
      <w:tr w14:paraId="75C80A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7900040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Research activities</w:t>
            </w:r>
          </w:p>
        </w:tc>
        <w:tc>
          <w:tcPr>
            <w:tcW w:w="4675" w:type="dxa"/>
          </w:tcPr>
          <w:p w14:paraId="159F60B5">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300,000</w:t>
            </w:r>
          </w:p>
        </w:tc>
      </w:tr>
      <w:tr w14:paraId="137D7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5E5ADB26">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Equipment and supplies</w:t>
            </w:r>
          </w:p>
        </w:tc>
        <w:tc>
          <w:tcPr>
            <w:tcW w:w="4675" w:type="dxa"/>
          </w:tcPr>
          <w:p w14:paraId="0B644B4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300,000</w:t>
            </w:r>
          </w:p>
        </w:tc>
      </w:tr>
      <w:tr w14:paraId="23C4F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4FDB2E0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Travel</w:t>
            </w:r>
          </w:p>
        </w:tc>
        <w:tc>
          <w:tcPr>
            <w:tcW w:w="4675" w:type="dxa"/>
          </w:tcPr>
          <w:p w14:paraId="0307E842">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200,000</w:t>
            </w:r>
          </w:p>
        </w:tc>
      </w:tr>
      <w:tr w14:paraId="0F0E67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77C9F658">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Participant compensation</w:t>
            </w:r>
          </w:p>
        </w:tc>
        <w:tc>
          <w:tcPr>
            <w:tcW w:w="4675" w:type="dxa"/>
          </w:tcPr>
          <w:p w14:paraId="60490C41">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150,000</w:t>
            </w:r>
          </w:p>
        </w:tc>
      </w:tr>
      <w:tr w14:paraId="34D73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3C6344EC">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Publication and dissemination</w:t>
            </w:r>
          </w:p>
        </w:tc>
        <w:tc>
          <w:tcPr>
            <w:tcW w:w="4675" w:type="dxa"/>
          </w:tcPr>
          <w:p w14:paraId="0154CD54">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200,000</w:t>
            </w:r>
          </w:p>
        </w:tc>
      </w:tr>
      <w:tr w14:paraId="25A33C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6C4064B0">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Administrative costs</w:t>
            </w:r>
          </w:p>
        </w:tc>
        <w:tc>
          <w:tcPr>
            <w:tcW w:w="4675" w:type="dxa"/>
          </w:tcPr>
          <w:p w14:paraId="58EE35F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200,000</w:t>
            </w:r>
          </w:p>
        </w:tc>
      </w:tr>
      <w:tr w14:paraId="32985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5959DABD">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Contingency</w:t>
            </w:r>
          </w:p>
        </w:tc>
        <w:tc>
          <w:tcPr>
            <w:tcW w:w="4675" w:type="dxa"/>
          </w:tcPr>
          <w:p w14:paraId="0740EBB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sz w:val="24"/>
                <w:szCs w:val="24"/>
              </w:rPr>
            </w:pPr>
            <w:r>
              <w:rPr>
                <w:rFonts w:ascii="Times New Roman" w:hAnsi="Times New Roman" w:eastAsia="Calibri" w:cs="Times New Roman"/>
                <w:sz w:val="24"/>
                <w:szCs w:val="24"/>
              </w:rPr>
              <w:t>400,000</w:t>
            </w:r>
          </w:p>
        </w:tc>
      </w:tr>
      <w:tr w14:paraId="07D36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675" w:type="dxa"/>
          </w:tcPr>
          <w:p w14:paraId="021AAE0B">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Total budget</w:t>
            </w:r>
          </w:p>
        </w:tc>
        <w:tc>
          <w:tcPr>
            <w:tcW w:w="4675" w:type="dxa"/>
          </w:tcPr>
          <w:p w14:paraId="7DA237FF">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eastAsia="Calibri" w:cs="Times New Roman"/>
                <w:b/>
                <w:sz w:val="24"/>
                <w:szCs w:val="24"/>
              </w:rPr>
            </w:pPr>
            <w:r>
              <w:rPr>
                <w:rFonts w:ascii="Times New Roman" w:hAnsi="Times New Roman" w:eastAsia="Calibri" w:cs="Times New Roman"/>
                <w:b/>
                <w:sz w:val="24"/>
                <w:szCs w:val="24"/>
              </w:rPr>
              <w:t>2,050,000</w:t>
            </w:r>
          </w:p>
        </w:tc>
      </w:tr>
    </w:tbl>
    <w:p w14:paraId="56264057">
      <w:pPr>
        <w:pStyle w:val="7"/>
        <w:pageBreakBefore w:val="0"/>
        <w:kinsoku/>
        <w:wordWrap/>
        <w:overflowPunct/>
        <w:topLinePunct w:val="0"/>
        <w:bidi w:val="0"/>
        <w:snapToGrid/>
        <w:spacing w:beforeAutospacing="0" w:after="0" w:afterAutospacing="0" w:line="360" w:lineRule="auto"/>
        <w:jc w:val="both"/>
        <w:textAlignment w:val="auto"/>
        <w:rPr>
          <w:rFonts w:ascii="Times New Roman" w:hAnsi="Times New Roman" w:cs="Times New Roman"/>
          <w:b/>
          <w:sz w:val="24"/>
          <w:szCs w:val="24"/>
        </w:rPr>
      </w:pPr>
    </w:p>
    <w:p w14:paraId="1F781F79">
      <w:pPr>
        <w:pageBreakBefore w:val="0"/>
        <w:kinsoku/>
        <w:wordWrap/>
        <w:overflowPunct/>
        <w:topLinePunct w:val="0"/>
        <w:bidi w:val="0"/>
        <w:snapToGrid/>
        <w:spacing w:beforeAutospacing="0" w:after="0" w:afterAutospacing="0" w:line="360" w:lineRule="auto"/>
        <w:ind w:left="5"/>
        <w:jc w:val="both"/>
        <w:textAlignment w:val="auto"/>
        <w:rPr>
          <w:rFonts w:ascii="Times New Roman" w:hAnsi="Times New Roman" w:cs="Times New Roman"/>
          <w:sz w:val="24"/>
          <w:szCs w:val="24"/>
        </w:rPr>
      </w:pPr>
      <w:r>
        <w:rPr>
          <w:rFonts w:ascii="Times New Roman" w:hAnsi="Times New Roman" w:cs="Times New Roman"/>
          <w:sz w:val="24"/>
          <w:szCs w:val="24"/>
        </w:rPr>
        <w:t xml:space="preserve">                             </w:t>
      </w:r>
    </w:p>
    <w:p w14:paraId="1AA20969">
      <w:pPr>
        <w:pageBreakBefore w:val="0"/>
        <w:kinsoku/>
        <w:wordWrap/>
        <w:overflowPunct/>
        <w:topLinePunct w:val="0"/>
        <w:bidi w:val="0"/>
        <w:snapToGrid/>
        <w:spacing w:beforeAutospacing="0" w:after="0" w:afterAutospacing="0" w:line="360" w:lineRule="auto"/>
        <w:ind w:left="5"/>
        <w:jc w:val="both"/>
        <w:textAlignment w:val="auto"/>
        <w:rPr>
          <w:rFonts w:ascii="Times New Roman" w:hAnsi="Times New Roman" w:cs="Times New Roman"/>
          <w:sz w:val="24"/>
          <w:szCs w:val="24"/>
        </w:rPr>
      </w:pPr>
    </w:p>
    <w:p w14:paraId="6A63EB38">
      <w:pPr>
        <w:pageBreakBefore w:val="0"/>
        <w:kinsoku/>
        <w:wordWrap/>
        <w:overflowPunct/>
        <w:topLinePunct w:val="0"/>
        <w:bidi w:val="0"/>
        <w:snapToGrid/>
        <w:spacing w:beforeAutospacing="0" w:after="0" w:afterAutospacing="0" w:line="360" w:lineRule="auto"/>
        <w:ind w:left="5"/>
        <w:jc w:val="both"/>
        <w:textAlignment w:val="auto"/>
        <w:rPr>
          <w:rFonts w:ascii="Times New Roman" w:hAnsi="Times New Roman" w:cs="Times New Roman"/>
          <w:sz w:val="24"/>
          <w:szCs w:val="24"/>
        </w:rPr>
      </w:pPr>
      <w:r>
        <w:rPr>
          <w:rFonts w:ascii="Times New Roman" w:hAnsi="Times New Roman" w:cs="Times New Roman"/>
          <w:sz w:val="24"/>
          <w:szCs w:val="24"/>
        </w:rPr>
        <w:t xml:space="preserve"> </w:t>
      </w:r>
    </w:p>
    <w:p w14:paraId="4C491F02">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0CD6F19B">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70E81F28">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72ED080D">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19E9C0B2">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78F77823">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63EA9369">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0FBF150F">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056D7615">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49F243D8">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3D84F48E">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5714BDB4">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56A85CBF">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3FB26E12">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13EE30F2">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2B5CF5D3">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68853CD0">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3C53D6AB">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205A9CB6">
      <w:pPr>
        <w:pStyle w:val="4"/>
        <w:keepNext/>
        <w:keepLines/>
        <w:pageBreakBefore w:val="0"/>
        <w:widowControl/>
        <w:kinsoku/>
        <w:wordWrap/>
        <w:overflowPunct/>
        <w:topLinePunct w:val="0"/>
        <w:autoSpaceDE/>
        <w:autoSpaceDN/>
        <w:bidi w:val="0"/>
        <w:adjustRightInd/>
        <w:snapToGrid/>
        <w:spacing w:before="0" w:after="0" w:line="360" w:lineRule="auto"/>
        <w:jc w:val="center"/>
        <w:textAlignment w:val="auto"/>
        <w:rPr>
          <w:rFonts w:hint="default" w:ascii="Times New Roman" w:hAnsi="Times New Roman" w:cs="Times New Roman"/>
          <w:sz w:val="24"/>
          <w:szCs w:val="24"/>
          <w:lang w:val="en-US"/>
        </w:rPr>
      </w:pPr>
      <w:bookmarkStart w:id="99" w:name="_Toc5734"/>
      <w:bookmarkStart w:id="100" w:name="_Toc32678"/>
      <w:bookmarkStart w:id="101" w:name="_Toc2504"/>
      <w:r>
        <w:rPr>
          <w:rFonts w:hint="default" w:ascii="Times New Roman" w:hAnsi="Times New Roman" w:cs="Times New Roman"/>
          <w:sz w:val="24"/>
          <w:szCs w:val="24"/>
        </w:rPr>
        <w:t>APPENDIX I</w:t>
      </w:r>
      <w:r>
        <w:rPr>
          <w:rFonts w:hint="default" w:ascii="Times New Roman" w:hAnsi="Times New Roman" w:cs="Times New Roman"/>
          <w:sz w:val="24"/>
          <w:szCs w:val="24"/>
          <w:lang w:val="en-US"/>
        </w:rPr>
        <w:t>V</w:t>
      </w:r>
      <w:r>
        <w:rPr>
          <w:rFonts w:hint="default" w:ascii="Times New Roman" w:hAnsi="Times New Roman" w:cs="Times New Roman"/>
          <w:sz w:val="24"/>
          <w:szCs w:val="24"/>
        </w:rPr>
        <w:t>: Introductory Letter for Data Collection</w:t>
      </w:r>
      <w:bookmarkEnd w:id="99"/>
      <w:r>
        <w:rPr>
          <w:rFonts w:hint="default" w:ascii="Times New Roman" w:hAnsi="Times New Roman" w:cs="Times New Roman"/>
          <w:sz w:val="24"/>
          <w:szCs w:val="24"/>
          <w:lang w:val="en-US"/>
        </w:rPr>
        <w:t xml:space="preserve"> from TIA</w:t>
      </w:r>
      <w:bookmarkEnd w:id="100"/>
      <w:bookmarkEnd w:id="101"/>
    </w:p>
    <w:p w14:paraId="3B28ABE1">
      <w:pPr>
        <w:rPr>
          <w:rFonts w:hint="default"/>
          <w:lang w:val="en-US"/>
        </w:rPr>
      </w:pPr>
      <w:r>
        <w:rPr>
          <w:rFonts w:hint="default"/>
          <w:lang w:val="en-US"/>
        </w:rPr>
        <w:drawing>
          <wp:inline distT="0" distB="0" distL="114300" distR="114300">
            <wp:extent cx="5201285" cy="7359650"/>
            <wp:effectExtent l="0" t="0" r="18415" b="12700"/>
            <wp:docPr id="6" name="Picture 6" descr="NBN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NBNB"/>
                    <pic:cNvPicPr>
                      <a:picLocks noChangeAspect="1"/>
                    </pic:cNvPicPr>
                  </pic:nvPicPr>
                  <pic:blipFill>
                    <a:blip r:embed="rId9"/>
                    <a:stretch>
                      <a:fillRect/>
                    </a:stretch>
                  </pic:blipFill>
                  <pic:spPr>
                    <a:xfrm>
                      <a:off x="0" y="0"/>
                      <a:ext cx="5201285" cy="7359650"/>
                    </a:xfrm>
                    <a:prstGeom prst="rect">
                      <a:avLst/>
                    </a:prstGeom>
                  </pic:spPr>
                </pic:pic>
              </a:graphicData>
            </a:graphic>
          </wp:inline>
        </w:drawing>
      </w:r>
    </w:p>
    <w:p w14:paraId="1A7EDB44">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20501408">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1E65E607">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5D63A49F">
      <w:pPr>
        <w:pageBreakBefore w:val="0"/>
        <w:tabs>
          <w:tab w:val="left" w:pos="3355"/>
        </w:tabs>
        <w:kinsoku/>
        <w:wordWrap/>
        <w:overflowPunct/>
        <w:topLinePunct w:val="0"/>
        <w:bidi w:val="0"/>
        <w:snapToGrid/>
        <w:spacing w:beforeAutospacing="0" w:after="0" w:afterAutospacing="0" w:line="360" w:lineRule="auto"/>
        <w:textAlignment w:val="auto"/>
        <w:rPr>
          <w:rFonts w:ascii="Times New Roman" w:hAnsi="Times New Roman" w:cs="Times New Roman"/>
          <w:b/>
          <w:sz w:val="24"/>
          <w:szCs w:val="24"/>
        </w:rPr>
      </w:pPr>
    </w:p>
    <w:p w14:paraId="4716AA62">
      <w:pPr>
        <w:pStyle w:val="4"/>
        <w:keepNext/>
        <w:keepLines/>
        <w:pageBreakBefore w:val="0"/>
        <w:widowControl/>
        <w:kinsoku/>
        <w:wordWrap/>
        <w:overflowPunct/>
        <w:topLinePunct w:val="0"/>
        <w:autoSpaceDE/>
        <w:autoSpaceDN/>
        <w:bidi w:val="0"/>
        <w:adjustRightInd/>
        <w:snapToGrid/>
        <w:spacing w:before="0" w:after="0" w:line="360" w:lineRule="auto"/>
        <w:jc w:val="center"/>
        <w:textAlignment w:val="auto"/>
        <w:rPr>
          <w:rFonts w:hint="default" w:ascii="Times New Roman" w:hAnsi="Times New Roman" w:cs="Times New Roman"/>
          <w:sz w:val="24"/>
          <w:szCs w:val="24"/>
          <w:lang w:val="en-US"/>
        </w:rPr>
      </w:pPr>
      <w:bookmarkStart w:id="102" w:name="_Toc28747"/>
      <w:bookmarkStart w:id="103" w:name="_Toc17258"/>
      <w:bookmarkStart w:id="104" w:name="_Toc12176"/>
      <w:r>
        <w:rPr>
          <w:rFonts w:hint="default" w:ascii="Times New Roman" w:hAnsi="Times New Roman" w:cs="Times New Roman"/>
          <w:sz w:val="24"/>
          <w:szCs w:val="24"/>
        </w:rPr>
        <w:t xml:space="preserve">APPENDIX III: Permission Letter for Conducting Research </w:t>
      </w:r>
      <w:bookmarkEnd w:id="102"/>
      <w:r>
        <w:rPr>
          <w:rFonts w:hint="default" w:ascii="Times New Roman" w:hAnsi="Times New Roman" w:cs="Times New Roman"/>
          <w:sz w:val="24"/>
          <w:szCs w:val="24"/>
          <w:lang w:val="en-US"/>
        </w:rPr>
        <w:t xml:space="preserve">from </w:t>
      </w:r>
      <w:bookmarkEnd w:id="103"/>
      <w:bookmarkEnd w:id="104"/>
      <w:r>
        <w:rPr>
          <w:rFonts w:hint="default" w:ascii="Times New Roman" w:hAnsi="Times New Roman" w:cs="Times New Roman"/>
          <w:sz w:val="24"/>
          <w:szCs w:val="24"/>
          <w:lang w:val="en-US"/>
        </w:rPr>
        <w:t>CRDB.</w:t>
      </w:r>
    </w:p>
    <w:p w14:paraId="7FA07E39">
      <w:pPr>
        <w:rPr>
          <w:rFonts w:hint="default"/>
          <w:lang w:val="en-US"/>
        </w:rPr>
      </w:pPr>
    </w:p>
    <w:p w14:paraId="76CD0139">
      <w:pPr>
        <w:pageBreakBefore w:val="0"/>
        <w:tabs>
          <w:tab w:val="left" w:pos="3355"/>
        </w:tabs>
        <w:kinsoku/>
        <w:wordWrap/>
        <w:overflowPunct/>
        <w:topLinePunct w:val="0"/>
        <w:bidi w:val="0"/>
        <w:snapToGrid/>
        <w:spacing w:beforeAutospacing="0" w:after="0" w:afterAutospacing="0" w:line="360" w:lineRule="auto"/>
        <w:textAlignment w:val="auto"/>
        <w:rPr>
          <w:rFonts w:hint="default" w:ascii="Times New Roman" w:hAnsi="Times New Roman" w:cs="Times New Roman"/>
          <w:b/>
          <w:sz w:val="24"/>
          <w:szCs w:val="24"/>
          <w:lang w:val="en-US"/>
        </w:rPr>
      </w:pPr>
      <w:r>
        <w:rPr>
          <w:rFonts w:hint="default" w:ascii="Times New Roman" w:hAnsi="Times New Roman" w:cs="Times New Roman"/>
          <w:b/>
          <w:sz w:val="24"/>
          <w:szCs w:val="24"/>
          <w:lang w:val="en-US"/>
        </w:rPr>
        <w:drawing>
          <wp:inline distT="0" distB="0" distL="114300" distR="114300">
            <wp:extent cx="5200015" cy="7346950"/>
            <wp:effectExtent l="0" t="0" r="635" b="6350"/>
            <wp:docPr id="1" name="Picture 1" descr="RESEARCH DATA COLLECTION - PERMIT IFO Asma Rashid Namchamb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RESEARCH DATA COLLECTION - PERMIT IFO Asma Rashid Namchambe (1)"/>
                    <pic:cNvPicPr>
                      <a:picLocks noChangeAspect="1"/>
                    </pic:cNvPicPr>
                  </pic:nvPicPr>
                  <pic:blipFill>
                    <a:blip r:embed="rId10"/>
                    <a:stretch>
                      <a:fillRect/>
                    </a:stretch>
                  </pic:blipFill>
                  <pic:spPr>
                    <a:xfrm>
                      <a:off x="0" y="0"/>
                      <a:ext cx="5200015" cy="7346950"/>
                    </a:xfrm>
                    <a:prstGeom prst="rect">
                      <a:avLst/>
                    </a:prstGeom>
                  </pic:spPr>
                </pic:pic>
              </a:graphicData>
            </a:graphic>
          </wp:inline>
        </w:drawing>
      </w:r>
      <w:bookmarkStart w:id="105" w:name="_GoBack"/>
      <w:bookmarkEnd w:id="105"/>
    </w:p>
    <w:sectPr>
      <w:footerReference r:id="rId7" w:type="default"/>
      <w:pgSz w:w="11906" w:h="16838"/>
      <w:pgMar w:top="1440" w:right="1440" w:bottom="1440" w:left="2268" w:header="720" w:footer="720" w:gutter="0"/>
      <w:pgNumType w:start="1"/>
      <w:cols w:space="0" w:num="1"/>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43"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0002A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0002AFF" w:usb1="C000247B" w:usb2="00000009" w:usb3="00000000" w:csb0="200001FF" w:csb1="00000000"/>
  </w:font>
  <w:font w:name="Calibri">
    <w:panose1 w:val="020F0502020204030204"/>
    <w:charset w:val="00"/>
    <w:family w:val="auto"/>
    <w:pitch w:val="default"/>
    <w:sig w:usb0="E0002A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0002AFF" w:usb1="C000247B" w:usb2="00000009" w:usb3="00000000" w:csb0="200001FF" w:csb1="00000000"/>
  </w:font>
  <w:font w:name="MS Mincho">
    <w:panose1 w:val="02020609040205080304"/>
    <w:charset w:val="80"/>
    <w:family w:val="roman"/>
    <w:pitch w:val="default"/>
    <w:sig w:usb0="A00002BF" w:usb1="68C7FCFB" w:usb2="00000010" w:usb3="00000000" w:csb0="4002009F" w:csb1="DFD70000"/>
  </w:font>
  <w:font w:name="Cambria">
    <w:panose1 w:val="02040503050406030204"/>
    <w:charset w:val="00"/>
    <w:family w:val="roman"/>
    <w:pitch w:val="default"/>
    <w:sig w:usb0="E00002FF" w:usb1="400004FF" w:usb2="00000000" w:usb3="00000000" w:csb0="2000019F" w:csb1="00000000"/>
  </w:font>
  <w:font w:name="Arial Narrow">
    <w:panose1 w:val="020B0606020202030204"/>
    <w:charset w:val="00"/>
    <w:family w:val="swiss"/>
    <w:pitch w:val="default"/>
    <w:sig w:usb0="00000287" w:usb1="00000800" w:usb2="00000000" w:usb3="00000000" w:csb0="2000009F" w:csb1="DFD7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 w:name="等线">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D4CB12">
    <w:pPr>
      <w:pStyle w:val="9"/>
      <w:jc w:val="center"/>
    </w:pPr>
  </w:p>
  <w:p w14:paraId="4D936DC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69852530"/>
      <w:docPartObj>
        <w:docPartGallery w:val="autotext"/>
      </w:docPartObj>
    </w:sdtPr>
    <w:sdtContent>
      <w:p w14:paraId="71E75C48">
        <w:pPr>
          <w:pStyle w:val="9"/>
          <w:jc w:val="center"/>
        </w:pPr>
        <w:r>
          <w:fldChar w:fldCharType="begin"/>
        </w:r>
        <w:r>
          <w:instrText xml:space="preserve"> PAGE   \* MERGEFORMAT </w:instrText>
        </w:r>
        <w:r>
          <w:fldChar w:fldCharType="separate"/>
        </w:r>
        <w:r>
          <w:t>xi</w:t>
        </w:r>
        <w:r>
          <w:fldChar w:fldCharType="end"/>
        </w:r>
      </w:p>
    </w:sdtContent>
  </w:sdt>
  <w:p w14:paraId="6F89CA27"/>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36647084"/>
      <w:docPartObj>
        <w:docPartGallery w:val="autotext"/>
      </w:docPartObj>
    </w:sdtPr>
    <w:sdtContent>
      <w:p w14:paraId="5A425830">
        <w:pPr>
          <w:pStyle w:val="9"/>
          <w:jc w:val="center"/>
        </w:pPr>
        <w:r>
          <w:fldChar w:fldCharType="begin"/>
        </w:r>
        <w:r>
          <w:instrText xml:space="preserve"> PAGE   \* MERGEFORMAT </w:instrText>
        </w:r>
        <w:r>
          <w:fldChar w:fldCharType="separate"/>
        </w:r>
        <w:r>
          <w:t>67</w:t>
        </w:r>
        <w:r>
          <w:fldChar w:fldCharType="end"/>
        </w:r>
      </w:p>
    </w:sdtContent>
  </w:sdt>
  <w:p w14:paraId="106F450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E285272"/>
    <w:multiLevelType w:val="multilevel"/>
    <w:tmpl w:val="0E285272"/>
    <w:lvl w:ilvl="0" w:tentative="0">
      <w:start w:val="1"/>
      <w:numFmt w:val="upp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9346DBB"/>
    <w:multiLevelType w:val="multilevel"/>
    <w:tmpl w:val="29346DBB"/>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4917489F"/>
    <w:multiLevelType w:val="multilevel"/>
    <w:tmpl w:val="4917489F"/>
    <w:lvl w:ilvl="0" w:tentative="0">
      <w:start w:val="1"/>
      <w:numFmt w:val="lowerRoman"/>
      <w:lvlText w:val="%1."/>
      <w:lvlJc w:val="righ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6CE96CF3"/>
    <w:multiLevelType w:val="multilevel"/>
    <w:tmpl w:val="6CE96CF3"/>
    <w:lvl w:ilvl="0" w:tentative="0">
      <w:start w:val="1"/>
      <w:numFmt w:val="lowerRoman"/>
      <w:lvlText w:val="%1."/>
      <w:lvlJc w:val="right"/>
      <w:pPr>
        <w:ind w:left="36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6E20029B"/>
    <w:multiLevelType w:val="multilevel"/>
    <w:tmpl w:val="6E20029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
  </w:num>
  <w:num w:numId="2">
    <w:abstractNumId w:val="2"/>
  </w:num>
  <w:num w:numId="3">
    <w:abstractNumId w:val="3"/>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121D"/>
    <w:rsid w:val="00003BC7"/>
    <w:rsid w:val="000045CA"/>
    <w:rsid w:val="00015C9A"/>
    <w:rsid w:val="000203BB"/>
    <w:rsid w:val="00020460"/>
    <w:rsid w:val="00035099"/>
    <w:rsid w:val="00047194"/>
    <w:rsid w:val="00051A52"/>
    <w:rsid w:val="00052FA4"/>
    <w:rsid w:val="000555E9"/>
    <w:rsid w:val="00056DCD"/>
    <w:rsid w:val="000572AE"/>
    <w:rsid w:val="00061954"/>
    <w:rsid w:val="00065B86"/>
    <w:rsid w:val="000724EA"/>
    <w:rsid w:val="00075C81"/>
    <w:rsid w:val="00077C94"/>
    <w:rsid w:val="00082B4C"/>
    <w:rsid w:val="00086CD9"/>
    <w:rsid w:val="00091612"/>
    <w:rsid w:val="00093CBE"/>
    <w:rsid w:val="00094FD5"/>
    <w:rsid w:val="000A6D8C"/>
    <w:rsid w:val="000B18E7"/>
    <w:rsid w:val="000B2713"/>
    <w:rsid w:val="000C0023"/>
    <w:rsid w:val="000C0CFD"/>
    <w:rsid w:val="000C0E3C"/>
    <w:rsid w:val="000C28BE"/>
    <w:rsid w:val="000C28DF"/>
    <w:rsid w:val="000C4A69"/>
    <w:rsid w:val="000D2967"/>
    <w:rsid w:val="000D2A81"/>
    <w:rsid w:val="000E2CDB"/>
    <w:rsid w:val="000F0569"/>
    <w:rsid w:val="000F121D"/>
    <w:rsid w:val="00100F2F"/>
    <w:rsid w:val="0010145F"/>
    <w:rsid w:val="00115918"/>
    <w:rsid w:val="00124F59"/>
    <w:rsid w:val="00132052"/>
    <w:rsid w:val="0014365D"/>
    <w:rsid w:val="00145E2B"/>
    <w:rsid w:val="001477C7"/>
    <w:rsid w:val="00147B61"/>
    <w:rsid w:val="00153A73"/>
    <w:rsid w:val="001566CE"/>
    <w:rsid w:val="0016132B"/>
    <w:rsid w:val="001649E9"/>
    <w:rsid w:val="00164D18"/>
    <w:rsid w:val="00166AF6"/>
    <w:rsid w:val="00192C75"/>
    <w:rsid w:val="001A1C6C"/>
    <w:rsid w:val="001A5402"/>
    <w:rsid w:val="001A5D41"/>
    <w:rsid w:val="001A5E57"/>
    <w:rsid w:val="001B6C0E"/>
    <w:rsid w:val="001C0644"/>
    <w:rsid w:val="001C2581"/>
    <w:rsid w:val="001C2F84"/>
    <w:rsid w:val="001D0D91"/>
    <w:rsid w:val="001D38C3"/>
    <w:rsid w:val="001D4D74"/>
    <w:rsid w:val="001D6051"/>
    <w:rsid w:val="001E0C36"/>
    <w:rsid w:val="001E38DD"/>
    <w:rsid w:val="001E6D7D"/>
    <w:rsid w:val="001F6852"/>
    <w:rsid w:val="002174EC"/>
    <w:rsid w:val="00224F5C"/>
    <w:rsid w:val="00227450"/>
    <w:rsid w:val="0023360D"/>
    <w:rsid w:val="00235B1F"/>
    <w:rsid w:val="002375B1"/>
    <w:rsid w:val="0024045F"/>
    <w:rsid w:val="002418A9"/>
    <w:rsid w:val="002443F6"/>
    <w:rsid w:val="002608D4"/>
    <w:rsid w:val="00262933"/>
    <w:rsid w:val="00274439"/>
    <w:rsid w:val="00275FC1"/>
    <w:rsid w:val="00277A07"/>
    <w:rsid w:val="00297B22"/>
    <w:rsid w:val="002A3F04"/>
    <w:rsid w:val="002B18D9"/>
    <w:rsid w:val="002C420E"/>
    <w:rsid w:val="002C7B65"/>
    <w:rsid w:val="002D517A"/>
    <w:rsid w:val="002E185B"/>
    <w:rsid w:val="002E2FAC"/>
    <w:rsid w:val="002E7D2A"/>
    <w:rsid w:val="002F75B4"/>
    <w:rsid w:val="0030607D"/>
    <w:rsid w:val="00320F4D"/>
    <w:rsid w:val="0032472D"/>
    <w:rsid w:val="00333944"/>
    <w:rsid w:val="00333D53"/>
    <w:rsid w:val="00340E7E"/>
    <w:rsid w:val="003455E5"/>
    <w:rsid w:val="003600DC"/>
    <w:rsid w:val="003625A1"/>
    <w:rsid w:val="00362C62"/>
    <w:rsid w:val="003655AA"/>
    <w:rsid w:val="00375671"/>
    <w:rsid w:val="00377EF7"/>
    <w:rsid w:val="00377F57"/>
    <w:rsid w:val="0038057C"/>
    <w:rsid w:val="003B36BA"/>
    <w:rsid w:val="003B423D"/>
    <w:rsid w:val="003B5676"/>
    <w:rsid w:val="003C1DAE"/>
    <w:rsid w:val="003C2A64"/>
    <w:rsid w:val="003C405D"/>
    <w:rsid w:val="003C5CF0"/>
    <w:rsid w:val="003C6635"/>
    <w:rsid w:val="003C6B00"/>
    <w:rsid w:val="003D12B0"/>
    <w:rsid w:val="003D7631"/>
    <w:rsid w:val="003E3279"/>
    <w:rsid w:val="003E43B9"/>
    <w:rsid w:val="003F0CE4"/>
    <w:rsid w:val="003F386A"/>
    <w:rsid w:val="00401AB5"/>
    <w:rsid w:val="00414C02"/>
    <w:rsid w:val="0041635D"/>
    <w:rsid w:val="00416F2D"/>
    <w:rsid w:val="00420578"/>
    <w:rsid w:val="00426E67"/>
    <w:rsid w:val="00427B57"/>
    <w:rsid w:val="004330A0"/>
    <w:rsid w:val="00435F0A"/>
    <w:rsid w:val="0043717A"/>
    <w:rsid w:val="00442BEB"/>
    <w:rsid w:val="00445997"/>
    <w:rsid w:val="004478E9"/>
    <w:rsid w:val="0045478B"/>
    <w:rsid w:val="0046173E"/>
    <w:rsid w:val="004736FF"/>
    <w:rsid w:val="0047455A"/>
    <w:rsid w:val="00475C4D"/>
    <w:rsid w:val="00476910"/>
    <w:rsid w:val="004833F9"/>
    <w:rsid w:val="004944F5"/>
    <w:rsid w:val="004A0833"/>
    <w:rsid w:val="004A24B8"/>
    <w:rsid w:val="004A513A"/>
    <w:rsid w:val="004A5E86"/>
    <w:rsid w:val="004A7000"/>
    <w:rsid w:val="004B2809"/>
    <w:rsid w:val="004B75DB"/>
    <w:rsid w:val="004C5B90"/>
    <w:rsid w:val="004E7DE5"/>
    <w:rsid w:val="00510FFB"/>
    <w:rsid w:val="00512059"/>
    <w:rsid w:val="00512419"/>
    <w:rsid w:val="0051560E"/>
    <w:rsid w:val="00530A52"/>
    <w:rsid w:val="005335B0"/>
    <w:rsid w:val="00535611"/>
    <w:rsid w:val="005368B6"/>
    <w:rsid w:val="00544A13"/>
    <w:rsid w:val="00544A27"/>
    <w:rsid w:val="00546860"/>
    <w:rsid w:val="00560BA0"/>
    <w:rsid w:val="00563199"/>
    <w:rsid w:val="00563E39"/>
    <w:rsid w:val="00565580"/>
    <w:rsid w:val="00567C0B"/>
    <w:rsid w:val="005707DC"/>
    <w:rsid w:val="00574660"/>
    <w:rsid w:val="0058182B"/>
    <w:rsid w:val="00597BFF"/>
    <w:rsid w:val="005A19C5"/>
    <w:rsid w:val="005A3272"/>
    <w:rsid w:val="005B2550"/>
    <w:rsid w:val="005E4752"/>
    <w:rsid w:val="005F6B6A"/>
    <w:rsid w:val="005F7BEF"/>
    <w:rsid w:val="00614CA8"/>
    <w:rsid w:val="006164B6"/>
    <w:rsid w:val="00620C6E"/>
    <w:rsid w:val="00627029"/>
    <w:rsid w:val="0063130E"/>
    <w:rsid w:val="00631A2A"/>
    <w:rsid w:val="00632785"/>
    <w:rsid w:val="0063373B"/>
    <w:rsid w:val="00643479"/>
    <w:rsid w:val="00643510"/>
    <w:rsid w:val="00644C76"/>
    <w:rsid w:val="00646699"/>
    <w:rsid w:val="00664C44"/>
    <w:rsid w:val="0066574B"/>
    <w:rsid w:val="00665E8C"/>
    <w:rsid w:val="0067053B"/>
    <w:rsid w:val="00674F32"/>
    <w:rsid w:val="00675ED8"/>
    <w:rsid w:val="00676BC3"/>
    <w:rsid w:val="00676F1D"/>
    <w:rsid w:val="00680AAD"/>
    <w:rsid w:val="00680B42"/>
    <w:rsid w:val="00680E10"/>
    <w:rsid w:val="00680E24"/>
    <w:rsid w:val="006831BF"/>
    <w:rsid w:val="00684CDD"/>
    <w:rsid w:val="00685818"/>
    <w:rsid w:val="00686AF2"/>
    <w:rsid w:val="006922B9"/>
    <w:rsid w:val="006A0A9A"/>
    <w:rsid w:val="006A57BD"/>
    <w:rsid w:val="006A60C0"/>
    <w:rsid w:val="006A750E"/>
    <w:rsid w:val="006B0045"/>
    <w:rsid w:val="006B0765"/>
    <w:rsid w:val="006C1C2F"/>
    <w:rsid w:val="006C4029"/>
    <w:rsid w:val="006C55C1"/>
    <w:rsid w:val="006C6153"/>
    <w:rsid w:val="006D539B"/>
    <w:rsid w:val="006E4174"/>
    <w:rsid w:val="006E6784"/>
    <w:rsid w:val="006F0492"/>
    <w:rsid w:val="006F1E72"/>
    <w:rsid w:val="006F7ABD"/>
    <w:rsid w:val="0070230E"/>
    <w:rsid w:val="00707484"/>
    <w:rsid w:val="00711886"/>
    <w:rsid w:val="00714DEE"/>
    <w:rsid w:val="00714FCF"/>
    <w:rsid w:val="00715705"/>
    <w:rsid w:val="007225C1"/>
    <w:rsid w:val="00726816"/>
    <w:rsid w:val="0073057F"/>
    <w:rsid w:val="0073347C"/>
    <w:rsid w:val="00733A77"/>
    <w:rsid w:val="00734002"/>
    <w:rsid w:val="00740631"/>
    <w:rsid w:val="007429BA"/>
    <w:rsid w:val="0074318F"/>
    <w:rsid w:val="00760E3F"/>
    <w:rsid w:val="007636F2"/>
    <w:rsid w:val="00767CDF"/>
    <w:rsid w:val="00774808"/>
    <w:rsid w:val="007801CD"/>
    <w:rsid w:val="00783E82"/>
    <w:rsid w:val="00783E95"/>
    <w:rsid w:val="00794295"/>
    <w:rsid w:val="00795239"/>
    <w:rsid w:val="007A03D8"/>
    <w:rsid w:val="007A06B5"/>
    <w:rsid w:val="007C04CC"/>
    <w:rsid w:val="007D0ECF"/>
    <w:rsid w:val="007D10CB"/>
    <w:rsid w:val="007D6AD5"/>
    <w:rsid w:val="007E0E12"/>
    <w:rsid w:val="007F4F29"/>
    <w:rsid w:val="008074F1"/>
    <w:rsid w:val="0081740E"/>
    <w:rsid w:val="00825E85"/>
    <w:rsid w:val="0083369F"/>
    <w:rsid w:val="008362E2"/>
    <w:rsid w:val="008367CA"/>
    <w:rsid w:val="008437A0"/>
    <w:rsid w:val="00847691"/>
    <w:rsid w:val="0084780F"/>
    <w:rsid w:val="0085164C"/>
    <w:rsid w:val="00854BD1"/>
    <w:rsid w:val="00871230"/>
    <w:rsid w:val="008774C4"/>
    <w:rsid w:val="00881013"/>
    <w:rsid w:val="00881581"/>
    <w:rsid w:val="008831E6"/>
    <w:rsid w:val="00884254"/>
    <w:rsid w:val="008B1ECD"/>
    <w:rsid w:val="008B2D71"/>
    <w:rsid w:val="008B338D"/>
    <w:rsid w:val="008B51C0"/>
    <w:rsid w:val="008C1441"/>
    <w:rsid w:val="008C19F8"/>
    <w:rsid w:val="008C6BBF"/>
    <w:rsid w:val="008D3852"/>
    <w:rsid w:val="008D75E9"/>
    <w:rsid w:val="008E3A8B"/>
    <w:rsid w:val="008E5530"/>
    <w:rsid w:val="008F2239"/>
    <w:rsid w:val="008F44CE"/>
    <w:rsid w:val="008F4E78"/>
    <w:rsid w:val="008F643E"/>
    <w:rsid w:val="008F6AC5"/>
    <w:rsid w:val="00902110"/>
    <w:rsid w:val="00910808"/>
    <w:rsid w:val="00930A65"/>
    <w:rsid w:val="0094423D"/>
    <w:rsid w:val="009456AD"/>
    <w:rsid w:val="00953D6F"/>
    <w:rsid w:val="0095582D"/>
    <w:rsid w:val="0095623A"/>
    <w:rsid w:val="00957253"/>
    <w:rsid w:val="009632CA"/>
    <w:rsid w:val="00980557"/>
    <w:rsid w:val="0098353E"/>
    <w:rsid w:val="00985E73"/>
    <w:rsid w:val="00990393"/>
    <w:rsid w:val="009A26F4"/>
    <w:rsid w:val="009B3E99"/>
    <w:rsid w:val="009D79AC"/>
    <w:rsid w:val="00A00722"/>
    <w:rsid w:val="00A021EC"/>
    <w:rsid w:val="00A067AA"/>
    <w:rsid w:val="00A15E53"/>
    <w:rsid w:val="00A179F7"/>
    <w:rsid w:val="00A25BE6"/>
    <w:rsid w:val="00A34DBA"/>
    <w:rsid w:val="00A46BC5"/>
    <w:rsid w:val="00A54DF7"/>
    <w:rsid w:val="00A65BCC"/>
    <w:rsid w:val="00A6700B"/>
    <w:rsid w:val="00A8016E"/>
    <w:rsid w:val="00A804DD"/>
    <w:rsid w:val="00A84F7F"/>
    <w:rsid w:val="00A9017B"/>
    <w:rsid w:val="00AA21B3"/>
    <w:rsid w:val="00AA5A74"/>
    <w:rsid w:val="00AB2917"/>
    <w:rsid w:val="00AB4271"/>
    <w:rsid w:val="00AB4377"/>
    <w:rsid w:val="00AB74A2"/>
    <w:rsid w:val="00AC3BB9"/>
    <w:rsid w:val="00AC4369"/>
    <w:rsid w:val="00AD0D8C"/>
    <w:rsid w:val="00AD20F6"/>
    <w:rsid w:val="00AD482F"/>
    <w:rsid w:val="00AD79DB"/>
    <w:rsid w:val="00AE7076"/>
    <w:rsid w:val="00AF5704"/>
    <w:rsid w:val="00AF6DEA"/>
    <w:rsid w:val="00B044BE"/>
    <w:rsid w:val="00B1341E"/>
    <w:rsid w:val="00B1395F"/>
    <w:rsid w:val="00B13A32"/>
    <w:rsid w:val="00B160E8"/>
    <w:rsid w:val="00B16E0B"/>
    <w:rsid w:val="00B22FEE"/>
    <w:rsid w:val="00B272AD"/>
    <w:rsid w:val="00B3212A"/>
    <w:rsid w:val="00B40C93"/>
    <w:rsid w:val="00B41D58"/>
    <w:rsid w:val="00B44156"/>
    <w:rsid w:val="00B57260"/>
    <w:rsid w:val="00B656FF"/>
    <w:rsid w:val="00B7000B"/>
    <w:rsid w:val="00B85B87"/>
    <w:rsid w:val="00B87FA8"/>
    <w:rsid w:val="00BA2FDB"/>
    <w:rsid w:val="00BA35B9"/>
    <w:rsid w:val="00BA44E3"/>
    <w:rsid w:val="00BA6031"/>
    <w:rsid w:val="00BB4AA2"/>
    <w:rsid w:val="00BF0792"/>
    <w:rsid w:val="00C0615E"/>
    <w:rsid w:val="00C14F94"/>
    <w:rsid w:val="00C1670A"/>
    <w:rsid w:val="00C30977"/>
    <w:rsid w:val="00C37638"/>
    <w:rsid w:val="00C40E02"/>
    <w:rsid w:val="00C42AB2"/>
    <w:rsid w:val="00C54F21"/>
    <w:rsid w:val="00C57097"/>
    <w:rsid w:val="00C65732"/>
    <w:rsid w:val="00C6726B"/>
    <w:rsid w:val="00C75C42"/>
    <w:rsid w:val="00C76DE7"/>
    <w:rsid w:val="00C80830"/>
    <w:rsid w:val="00C97BE0"/>
    <w:rsid w:val="00CA043E"/>
    <w:rsid w:val="00CA0977"/>
    <w:rsid w:val="00CA6252"/>
    <w:rsid w:val="00CA64C5"/>
    <w:rsid w:val="00CA6BA7"/>
    <w:rsid w:val="00CB388C"/>
    <w:rsid w:val="00CC399E"/>
    <w:rsid w:val="00CC6D31"/>
    <w:rsid w:val="00CD7001"/>
    <w:rsid w:val="00CF14B4"/>
    <w:rsid w:val="00CF1D1F"/>
    <w:rsid w:val="00CF3ECF"/>
    <w:rsid w:val="00CF799D"/>
    <w:rsid w:val="00D037F3"/>
    <w:rsid w:val="00D03E50"/>
    <w:rsid w:val="00D053A7"/>
    <w:rsid w:val="00D067DF"/>
    <w:rsid w:val="00D13C34"/>
    <w:rsid w:val="00D1551B"/>
    <w:rsid w:val="00D16651"/>
    <w:rsid w:val="00D1763E"/>
    <w:rsid w:val="00D20E65"/>
    <w:rsid w:val="00D30CE2"/>
    <w:rsid w:val="00D34C43"/>
    <w:rsid w:val="00D40CAD"/>
    <w:rsid w:val="00D44261"/>
    <w:rsid w:val="00D5465D"/>
    <w:rsid w:val="00D549DD"/>
    <w:rsid w:val="00D55420"/>
    <w:rsid w:val="00D61814"/>
    <w:rsid w:val="00D72DD1"/>
    <w:rsid w:val="00D73022"/>
    <w:rsid w:val="00D7457B"/>
    <w:rsid w:val="00D817C5"/>
    <w:rsid w:val="00D829C4"/>
    <w:rsid w:val="00D82E4D"/>
    <w:rsid w:val="00D912D2"/>
    <w:rsid w:val="00D97A7A"/>
    <w:rsid w:val="00DA3B45"/>
    <w:rsid w:val="00DB0295"/>
    <w:rsid w:val="00DB600E"/>
    <w:rsid w:val="00DC07B0"/>
    <w:rsid w:val="00DC61FD"/>
    <w:rsid w:val="00DC725C"/>
    <w:rsid w:val="00DD62CF"/>
    <w:rsid w:val="00DF24D1"/>
    <w:rsid w:val="00DF28C8"/>
    <w:rsid w:val="00DF2BC6"/>
    <w:rsid w:val="00DF5759"/>
    <w:rsid w:val="00E0434C"/>
    <w:rsid w:val="00E063CC"/>
    <w:rsid w:val="00E06AD8"/>
    <w:rsid w:val="00E21A31"/>
    <w:rsid w:val="00E2304C"/>
    <w:rsid w:val="00E2576E"/>
    <w:rsid w:val="00E324CC"/>
    <w:rsid w:val="00E37847"/>
    <w:rsid w:val="00E5387A"/>
    <w:rsid w:val="00E56AAF"/>
    <w:rsid w:val="00E63C96"/>
    <w:rsid w:val="00E649C6"/>
    <w:rsid w:val="00E719AE"/>
    <w:rsid w:val="00E74A70"/>
    <w:rsid w:val="00E758C7"/>
    <w:rsid w:val="00E75D06"/>
    <w:rsid w:val="00E77B5F"/>
    <w:rsid w:val="00E813CD"/>
    <w:rsid w:val="00E93FA7"/>
    <w:rsid w:val="00E96FA1"/>
    <w:rsid w:val="00EA1F9A"/>
    <w:rsid w:val="00EA392C"/>
    <w:rsid w:val="00EA6E04"/>
    <w:rsid w:val="00EB1653"/>
    <w:rsid w:val="00EB4672"/>
    <w:rsid w:val="00EB4E1B"/>
    <w:rsid w:val="00EB4E30"/>
    <w:rsid w:val="00EB5CFA"/>
    <w:rsid w:val="00EB6EC1"/>
    <w:rsid w:val="00EB6EE0"/>
    <w:rsid w:val="00EC2EA9"/>
    <w:rsid w:val="00ED11E8"/>
    <w:rsid w:val="00ED275C"/>
    <w:rsid w:val="00EE0D0D"/>
    <w:rsid w:val="00EF329A"/>
    <w:rsid w:val="00EF34F3"/>
    <w:rsid w:val="00EF4607"/>
    <w:rsid w:val="00EF5581"/>
    <w:rsid w:val="00F02E3F"/>
    <w:rsid w:val="00F10EA6"/>
    <w:rsid w:val="00F160F1"/>
    <w:rsid w:val="00F166CD"/>
    <w:rsid w:val="00F22FE8"/>
    <w:rsid w:val="00F2318D"/>
    <w:rsid w:val="00F25433"/>
    <w:rsid w:val="00F31C00"/>
    <w:rsid w:val="00F34003"/>
    <w:rsid w:val="00F35600"/>
    <w:rsid w:val="00F45D4D"/>
    <w:rsid w:val="00F45F6C"/>
    <w:rsid w:val="00F52A5A"/>
    <w:rsid w:val="00F535EB"/>
    <w:rsid w:val="00F54860"/>
    <w:rsid w:val="00F5703F"/>
    <w:rsid w:val="00F574D0"/>
    <w:rsid w:val="00F67A03"/>
    <w:rsid w:val="00F71140"/>
    <w:rsid w:val="00F74297"/>
    <w:rsid w:val="00F81690"/>
    <w:rsid w:val="00F91C66"/>
    <w:rsid w:val="00F960B6"/>
    <w:rsid w:val="00F9736E"/>
    <w:rsid w:val="00FB45E7"/>
    <w:rsid w:val="00FB60A4"/>
    <w:rsid w:val="00FB71E5"/>
    <w:rsid w:val="00FB78D7"/>
    <w:rsid w:val="00FC1150"/>
    <w:rsid w:val="00FD4441"/>
    <w:rsid w:val="00FE1006"/>
    <w:rsid w:val="00FF1510"/>
    <w:rsid w:val="00FF2003"/>
    <w:rsid w:val="00FF43F4"/>
    <w:rsid w:val="00FF6C74"/>
    <w:rsid w:val="084447B0"/>
    <w:rsid w:val="3A39061A"/>
    <w:rsid w:val="3B9D5810"/>
    <w:rsid w:val="440054AD"/>
    <w:rsid w:val="61B63405"/>
    <w:rsid w:val="7E457F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0"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nhideWhenUsed="0"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8"/>
    <w:qFormat/>
    <w:uiPriority w:val="9"/>
    <w:pPr>
      <w:keepNext/>
      <w:keepLines/>
      <w:spacing w:before="240" w:after="0"/>
      <w:outlineLvl w:val="0"/>
    </w:pPr>
    <w:rPr>
      <w:rFonts w:ascii="Times New Roman" w:hAnsi="Times New Roman" w:eastAsiaTheme="majorEastAsia" w:cstheme="majorBidi"/>
      <w:color w:val="000000" w:themeColor="text1"/>
      <w:sz w:val="24"/>
      <w:szCs w:val="32"/>
      <w14:textFill>
        <w14:solidFill>
          <w14:schemeClr w14:val="tx1"/>
        </w14:solidFill>
      </w14:textFill>
    </w:rPr>
  </w:style>
  <w:style w:type="paragraph" w:styleId="3">
    <w:name w:val="heading 2"/>
    <w:basedOn w:val="1"/>
    <w:next w:val="1"/>
    <w:link w:val="25"/>
    <w:unhideWhenUsed/>
    <w:qFormat/>
    <w:uiPriority w:val="9"/>
    <w:pPr>
      <w:keepNext/>
      <w:keepLines/>
      <w:spacing w:before="40" w:after="0"/>
      <w:outlineLvl w:val="1"/>
    </w:pPr>
    <w:rPr>
      <w:rFonts w:asciiTheme="majorHAnsi" w:hAnsiTheme="majorHAnsi" w:eastAsiaTheme="majorEastAsia" w:cstheme="majorBidi"/>
      <w:color w:val="2F5597" w:themeColor="accent1" w:themeShade="BF"/>
      <w:sz w:val="26"/>
      <w:szCs w:val="26"/>
    </w:rPr>
  </w:style>
  <w:style w:type="paragraph" w:styleId="4">
    <w:name w:val="heading 6"/>
    <w:basedOn w:val="1"/>
    <w:next w:val="1"/>
    <w:unhideWhenUsed/>
    <w:qFormat/>
    <w:uiPriority w:val="0"/>
    <w:pPr>
      <w:keepNext/>
      <w:keepLines/>
      <w:spacing w:before="240" w:after="64" w:line="320" w:lineRule="auto"/>
      <w:outlineLvl w:val="5"/>
    </w:pPr>
    <w:rPr>
      <w:b/>
      <w:bCs/>
      <w:sz w:val="24"/>
      <w:szCs w:val="24"/>
    </w:rPr>
  </w:style>
  <w:style w:type="character" w:default="1" w:styleId="5">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7">
    <w:name w:val="Body Text"/>
    <w:basedOn w:val="1"/>
    <w:link w:val="23"/>
    <w:qFormat/>
    <w:uiPriority w:val="99"/>
    <w:pPr>
      <w:spacing w:after="120"/>
    </w:pPr>
  </w:style>
  <w:style w:type="paragraph" w:styleId="8">
    <w:name w:val="caption"/>
    <w:basedOn w:val="1"/>
    <w:next w:val="1"/>
    <w:qFormat/>
    <w:uiPriority w:val="35"/>
    <w:pPr>
      <w:spacing w:after="0" w:line="360" w:lineRule="auto"/>
    </w:pPr>
    <w:rPr>
      <w:rFonts w:ascii="Times New Roman" w:hAnsi="Times New Roman" w:eastAsia="MS Mincho" w:cs="Times New Roman"/>
      <w:b/>
      <w:bCs/>
      <w:sz w:val="24"/>
      <w:szCs w:val="20"/>
    </w:rPr>
  </w:style>
  <w:style w:type="paragraph" w:styleId="9">
    <w:name w:val="footer"/>
    <w:basedOn w:val="1"/>
    <w:link w:val="22"/>
    <w:unhideWhenUsed/>
    <w:qFormat/>
    <w:uiPriority w:val="99"/>
    <w:pPr>
      <w:tabs>
        <w:tab w:val="center" w:pos="4680"/>
        <w:tab w:val="right" w:pos="9360"/>
      </w:tabs>
      <w:spacing w:after="0" w:line="240" w:lineRule="auto"/>
    </w:pPr>
  </w:style>
  <w:style w:type="paragraph" w:styleId="10">
    <w:name w:val="header"/>
    <w:basedOn w:val="1"/>
    <w:link w:val="21"/>
    <w:unhideWhenUsed/>
    <w:qFormat/>
    <w:uiPriority w:val="99"/>
    <w:pPr>
      <w:tabs>
        <w:tab w:val="center" w:pos="4680"/>
        <w:tab w:val="right" w:pos="9360"/>
      </w:tabs>
      <w:spacing w:after="0" w:line="240" w:lineRule="auto"/>
    </w:pPr>
  </w:style>
  <w:style w:type="character" w:styleId="11">
    <w:name w:val="Hyperlink"/>
    <w:basedOn w:val="5"/>
    <w:unhideWhenUsed/>
    <w:qFormat/>
    <w:uiPriority w:val="99"/>
    <w:rPr>
      <w:color w:val="0563C1" w:themeColor="hyperlink"/>
      <w:u w:val="single"/>
      <w14:textFill>
        <w14:solidFill>
          <w14:schemeClr w14:val="hlink"/>
        </w14:solidFill>
      </w14:textFill>
    </w:rPr>
  </w:style>
  <w:style w:type="character" w:styleId="12">
    <w:name w:val="Strong"/>
    <w:basedOn w:val="5"/>
    <w:qFormat/>
    <w:uiPriority w:val="22"/>
    <w:rPr>
      <w:b/>
      <w:bCs/>
    </w:rPr>
  </w:style>
  <w:style w:type="table" w:styleId="13">
    <w:name w:val="Table Grid"/>
    <w:basedOn w:val="6"/>
    <w:qFormat/>
    <w:uiPriority w:val="39"/>
    <w:pPr>
      <w:spacing w:after="0" w:line="240" w:lineRule="auto"/>
    </w:pPr>
    <w:rPr>
      <w:rFonts w:ascii="Calibri" w:hAnsi="Calibri" w:eastAsia="Calibri" w:cs="SimSu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14">
    <w:name w:val="table of figures"/>
    <w:basedOn w:val="1"/>
    <w:next w:val="1"/>
    <w:unhideWhenUsed/>
    <w:qFormat/>
    <w:uiPriority w:val="99"/>
    <w:pPr>
      <w:spacing w:after="0" w:line="240" w:lineRule="auto"/>
    </w:pPr>
    <w:rPr>
      <w:rFonts w:ascii="Cambria" w:hAnsi="Cambria" w:eastAsia="MS Mincho" w:cs="Times New Roman"/>
      <w:sz w:val="24"/>
      <w:szCs w:val="24"/>
    </w:rPr>
  </w:style>
  <w:style w:type="paragraph" w:styleId="15">
    <w:name w:val="toc 1"/>
    <w:basedOn w:val="1"/>
    <w:next w:val="1"/>
    <w:autoRedefine/>
    <w:unhideWhenUsed/>
    <w:qFormat/>
    <w:uiPriority w:val="39"/>
    <w:pPr>
      <w:spacing w:after="100"/>
    </w:pPr>
  </w:style>
  <w:style w:type="paragraph" w:styleId="16">
    <w:name w:val="toc 2"/>
    <w:basedOn w:val="1"/>
    <w:next w:val="1"/>
    <w:autoRedefine/>
    <w:semiHidden/>
    <w:unhideWhenUsed/>
    <w:qFormat/>
    <w:uiPriority w:val="39"/>
    <w:pPr>
      <w:spacing w:after="100"/>
      <w:ind w:left="220"/>
    </w:pPr>
  </w:style>
  <w:style w:type="paragraph" w:styleId="17">
    <w:name w:val="No Spacing"/>
    <w:link w:val="28"/>
    <w:qFormat/>
    <w:uiPriority w:val="0"/>
    <w:pPr>
      <w:spacing w:after="0" w:line="240" w:lineRule="auto"/>
    </w:pPr>
    <w:rPr>
      <w:rFonts w:asciiTheme="minorHAnsi" w:hAnsiTheme="minorHAnsi" w:eastAsiaTheme="minorHAnsi" w:cstheme="minorBidi"/>
      <w:sz w:val="22"/>
      <w:szCs w:val="22"/>
      <w:lang w:val="en-US" w:eastAsia="en-US" w:bidi="ar-SA"/>
    </w:rPr>
  </w:style>
  <w:style w:type="character" w:customStyle="1" w:styleId="18">
    <w:name w:val="Heading 1 Char"/>
    <w:basedOn w:val="5"/>
    <w:link w:val="2"/>
    <w:qFormat/>
    <w:uiPriority w:val="9"/>
    <w:rPr>
      <w:rFonts w:ascii="Times New Roman" w:hAnsi="Times New Roman" w:eastAsiaTheme="majorEastAsia" w:cstheme="majorBidi"/>
      <w:color w:val="000000" w:themeColor="text1"/>
      <w:sz w:val="24"/>
      <w:szCs w:val="32"/>
      <w14:textFill>
        <w14:solidFill>
          <w14:schemeClr w14:val="tx1"/>
        </w14:solidFill>
      </w14:textFill>
    </w:rPr>
  </w:style>
  <w:style w:type="paragraph" w:customStyle="1" w:styleId="19">
    <w:name w:val="TOC Heading"/>
    <w:basedOn w:val="2"/>
    <w:next w:val="1"/>
    <w:unhideWhenUsed/>
    <w:qFormat/>
    <w:uiPriority w:val="39"/>
    <w:pPr>
      <w:outlineLvl w:val="9"/>
    </w:pPr>
  </w:style>
  <w:style w:type="paragraph" w:styleId="20">
    <w:name w:val="List Paragraph"/>
    <w:basedOn w:val="1"/>
    <w:qFormat/>
    <w:uiPriority w:val="34"/>
    <w:pPr>
      <w:ind w:left="720"/>
      <w:contextualSpacing/>
    </w:pPr>
  </w:style>
  <w:style w:type="character" w:customStyle="1" w:styleId="21">
    <w:name w:val="Header Char"/>
    <w:basedOn w:val="5"/>
    <w:link w:val="10"/>
    <w:qFormat/>
    <w:uiPriority w:val="99"/>
  </w:style>
  <w:style w:type="character" w:customStyle="1" w:styleId="22">
    <w:name w:val="Footer Char"/>
    <w:basedOn w:val="5"/>
    <w:link w:val="9"/>
    <w:qFormat/>
    <w:uiPriority w:val="99"/>
  </w:style>
  <w:style w:type="character" w:customStyle="1" w:styleId="23">
    <w:name w:val="Body Text Char"/>
    <w:basedOn w:val="5"/>
    <w:link w:val="7"/>
    <w:qFormat/>
    <w:uiPriority w:val="1"/>
  </w:style>
  <w:style w:type="paragraph" w:customStyle="1" w:styleId="24">
    <w:name w:val="Bibliography"/>
    <w:basedOn w:val="1"/>
    <w:next w:val="1"/>
    <w:unhideWhenUsed/>
    <w:qFormat/>
    <w:uiPriority w:val="37"/>
  </w:style>
  <w:style w:type="character" w:customStyle="1" w:styleId="25">
    <w:name w:val="Heading 2 Char"/>
    <w:basedOn w:val="5"/>
    <w:link w:val="3"/>
    <w:qFormat/>
    <w:uiPriority w:val="9"/>
    <w:rPr>
      <w:rFonts w:asciiTheme="majorHAnsi" w:hAnsiTheme="majorHAnsi" w:eastAsiaTheme="majorEastAsia" w:cstheme="majorBidi"/>
      <w:color w:val="2F5597" w:themeColor="accent1" w:themeShade="BF"/>
      <w:sz w:val="26"/>
      <w:szCs w:val="26"/>
    </w:rPr>
  </w:style>
  <w:style w:type="table" w:customStyle="1" w:styleId="26">
    <w:name w:val="List Table 2"/>
    <w:basedOn w:val="6"/>
    <w:qFormat/>
    <w:uiPriority w:val="47"/>
    <w:pPr>
      <w:spacing w:after="0" w:line="240" w:lineRule="auto"/>
    </w:pPr>
    <w:tblPr>
      <w:tblBorders>
        <w:top w:val="single" w:color="666666" w:themeColor="text1" w:themeTint="99" w:sz="4" w:space="0"/>
        <w:bottom w:val="single" w:color="666666" w:themeColor="text1" w:themeTint="99" w:sz="4" w:space="0"/>
        <w:insideH w:val="single" w:color="666666" w:themeColor="text1" w:themeTint="99" w:sz="4" w:space="0"/>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cPr>
        <w:shd w:val="clear" w:color="auto" w:fill="CCCCCC" w:themeFill="text1" w:themeFillTint="33"/>
      </w:tcPr>
    </w:tblStylePr>
    <w:tblStylePr w:type="band1Horz">
      <w:tcPr>
        <w:shd w:val="clear" w:color="auto" w:fill="CCCCCC" w:themeFill="text1" w:themeFillTint="33"/>
      </w:tcPr>
    </w:tblStylePr>
  </w:style>
  <w:style w:type="table" w:customStyle="1" w:styleId="27">
    <w:name w:val="List Table 2 Accent 1"/>
    <w:basedOn w:val="6"/>
    <w:uiPriority w:val="47"/>
    <w:pPr>
      <w:spacing w:after="0" w:line="240" w:lineRule="auto"/>
    </w:pPr>
    <w:tblPr>
      <w:tblBorders>
        <w:top w:val="single" w:color="8EAADB" w:themeColor="accent1" w:themeTint="99" w:sz="4" w:space="0"/>
        <w:bottom w:val="single" w:color="8EAADB" w:themeColor="accent1" w:themeTint="99" w:sz="4" w:space="0"/>
        <w:insideH w:val="single" w:color="8EAADB" w:themeColor="accent1" w:themeTint="99" w:sz="4" w:space="0"/>
      </w:tblBorders>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cPr>
        <w:shd w:val="clear" w:color="auto" w:fill="D9E2F3" w:themeFill="accent1" w:themeFillTint="33"/>
      </w:tcPr>
    </w:tblStylePr>
    <w:tblStylePr w:type="band1Horz">
      <w:tcPr>
        <w:shd w:val="clear" w:color="auto" w:fill="D9E2F3" w:themeFill="accent1" w:themeFillTint="33"/>
      </w:tcPr>
    </w:tblStylePr>
  </w:style>
  <w:style w:type="character" w:customStyle="1" w:styleId="28">
    <w:name w:val="No Spacing Char"/>
    <w:link w:val="17"/>
    <w:qFormat/>
    <w:locked/>
    <w:uiPriority w:val="0"/>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b:Source>
    <b:Tag>Mor14</b:Tag>
    <b:SourceType>Report</b:SourceType>
    <b:Guid>{00D8E488-5BBA-45CB-AC8A-2238EBA301F1}</b:Guid>
    <b:Author>
      <b:Author>
        <b:NameList>
          <b:Person>
            <b:Last>Morgan</b:Last>
          </b:Person>
        </b:NameList>
      </b:Author>
    </b:Author>
    <b:Title>The impact of service quality on customer satisfaction in banking industry : A case of CRDB bank in njombe and iringa region</b:Title>
    <b:Year>2014</b:Year>
    <b:RefOrder>2</b:RefOrder>
  </b:Source>
  <b:Source>
    <b:Tag>Enn99</b:Tag>
    <b:SourceType>JournalArticle</b:SourceType>
    <b:Guid>{E08CED8D-A15A-4BAE-9874-BB98EF1C8894}</b:Guid>
    <b:Title>The impact of participative service relationships on quality, satisfaction and rerention: An exploratory study. </b:Title>
    <b:Year>1999</b:Year>
    <b:JournalName>Journal of business research </b:JournalName>
    <b:Pages>46, 121-132</b:Pages>
    <b:Author>
      <b:Author>
        <b:NameList>
          <b:Person>
            <b:Last>Ennew</b:Last>
            <b:First>C.T.,</b:First>
            <b:Middle>and Bink ,M.R.</b:Middle>
          </b:Person>
        </b:NameList>
      </b:Author>
    </b:Author>
    <b:RefOrder>3</b:RefOrder>
  </b:Source>
  <b:Source>
    <b:Tag>ula17</b:Tag>
    <b:SourceType>Report</b:SourceType>
    <b:Guid>{E21F6D73-6CCB-48BD-81F3-7E4ACC6F5025}</b:Guid>
    <b:Author>
      <b:Author>
        <b:NameList>
          <b:Person>
            <b:Last>ulaya</b:Last>
            <b:First>Aaroni</b:First>
          </b:Person>
        </b:NameList>
      </b:Author>
    </b:Author>
    <b:Title>Effects of service quality to customer satisfaction in Tanzania banking industry: The case of akiba commercial bank</b:Title>
    <b:Year>2017</b:Year>
    <b:RefOrder>1</b:RefOrder>
  </b:Source>
  <b:Source>
    <b:Tag>Ful05</b:Tag>
    <b:SourceType>JournalArticle</b:SourceType>
    <b:Guid>{EB1109D8-32FB-4E0E-A915-5A77CE6D0C85}</b:Guid>
    <b:Author>
      <b:Author>
        <b:NameList>
          <b:Person>
            <b:Last>Fullerton</b:Last>
            <b:First>G.</b:First>
          </b:Person>
        </b:NameList>
      </b:Author>
    </b:Author>
    <b:Title>The service quality-loyalty relationship in retail services:Does commitment matter?</b:Title>
    <b:Year>2005</b:Year>
    <b:JournalName>Journal of Retailing and consumer services,</b:JournalName>
    <b:Pages>12(2),99-111</b:Pages>
    <b:RefOrder>4</b:RefOrder>
  </b:Source>
  <b:Source>
    <b:Tag>CRD13</b:Tag>
    <b:SourceType>Report</b:SourceType>
    <b:Guid>{0C0ECF67-1699-413E-A955-FA000BA4BCA2}</b:Guid>
    <b:Title>Financial report 31st ended</b:Title>
    <b:Year>2013</b:Year>
    <b:Author>
      <b:Author>
        <b:NameList>
          <b:Person>
            <b:Last>CRDB</b:Last>
          </b:Person>
        </b:NameList>
      </b:Author>
    </b:Author>
    <b:RefOrder>5</b:RefOrder>
  </b:Source>
  <b:Source>
    <b:Tag>Oli97</b:Tag>
    <b:SourceType>JournalArticle</b:SourceType>
    <b:Guid>{C1D845B5-FF35-4C4D-984E-F176B6E4D593}</b:Guid>
    <b:Author>
      <b:Author>
        <b:NameList>
          <b:Person>
            <b:Last>Oliver</b:Last>
            <b:First>R.</b:First>
          </b:Person>
        </b:NameList>
      </b:Author>
    </b:Author>
    <b:Title>A cognitive model of antecedents and consequences of satisfaction decisions.</b:Title>
    <b:Year>1997</b:Year>
    <b:JournalName>journal of marketing research </b:JournalName>
    <b:Pages>17(4), 460-469</b:Pages>
    <b:RefOrder>7</b:RefOrder>
  </b:Source>
  <b:Source>
    <b:Tag>Kum10</b:Tag>
    <b:SourceType>Report</b:SourceType>
    <b:Guid>{5781FDB4-E771-40AF-847F-8E974ED57C5E}</b:Guid>
    <b:Title>An application of Dominance Analysis in modified SERVIQUAL Model</b:Title>
    <b:JournalName>Comperative Evaluation of critical factors in delivering service quality of banks</b:JournalName>
    <b:Year>2010</b:Year>
    <b:Author>
      <b:Author>
        <b:NameList>
          <b:Person>
            <b:Last>Kumar</b:Last>
            <b:First>M</b:First>
            <b:Middle>Kee, K.T &amp;Charles, v.</b:Middle>
          </b:Person>
        </b:NameList>
      </b:Author>
    </b:Author>
    <b:RefOrder>6</b:RefOrder>
  </b:Source>
  <b:Source>
    <b:Tag>Kot07</b:Tag>
    <b:SourceType>JournalArticle</b:SourceType>
    <b:Guid>{D5CBD991-8D4B-4D23-BE04-4EAF023908AF}</b:Guid>
    <b:Author>
      <b:Author>
        <b:NameList>
          <b:Person>
            <b:Last>Kotler</b:Last>
            <b:First>Philip</b:First>
          </b:Person>
        </b:NameList>
      </b:Author>
      <b:BookAuthor>
        <b:NameList>
          <b:Person>
            <b:Last>edition</b:Last>
            <b:First>The</b:First>
            <b:Middle>millenium</b:Middle>
          </b:Person>
        </b:NameList>
      </b:BookAuthor>
    </b:Author>
    <b:Title>Marketing management</b:Title>
    <b:Year>2007</b:Year>
    <b:JournalName>millenium edition, prentince hall Inc</b:JournalName>
    <b:RefOrder>8</b:RefOrder>
  </b:Source>
  <b:Source>
    <b:Tag>par91</b:Tag>
    <b:SourceType>JournalArticle</b:SourceType>
    <b:Guid>{17958A27-4811-4B90-B0EA-16B08D8F21F0}</b:Guid>
    <b:Author>
      <b:Author>
        <b:NameList>
          <b:Person>
            <b:Last>parasuraman</b:Last>
            <b:First>A,</b:First>
            <b:Middle>Berry L. Zeithaml, A</b:Middle>
          </b:Person>
        </b:NameList>
      </b:Author>
    </b:Author>
    <b:Title>Refinement and Reassesment of SERVQUAL scale</b:Title>
    <b:JournalName>Journal musing dignin,</b:JournalName>
    <b:Year>1991</b:Year>
    <b:Pages>vol. 67, n0 6 pp: 420-450</b:Pages>
    <b:RefOrder>9</b:RefOrder>
  </b:Source>
  <b:Source>
    <b:Tag>Kot08</b:Tag>
    <b:SourceType>Book</b:SourceType>
    <b:Guid>{5B41BD1C-6664-4C04-8FC7-ED947405ACEF}</b:Guid>
    <b:Author>
      <b:Author>
        <b:NameList>
          <b:Person>
            <b:Last>Armstrong</b:Last>
            <b:First>Kotler</b:First>
            <b:Middle>Philip dan Gray</b:Middle>
          </b:Person>
        </b:NameList>
      </b:Author>
    </b:Author>
    <b:Title>Prinsprinsp pemasaran, edis</b:Title>
    <b:Year>2008</b:Year>
    <b:City>Edis 12</b:City>
    <b:Publisher>Jakata Erlangga</b:Publisher>
    <b:RefOrder>10</b:RefOrder>
  </b:Source>
  <b:Source>
    <b:Tag>Hen20</b:Tag>
    <b:SourceType>JournalArticle</b:SourceType>
    <b:Guid>{3BA9B604-BD46-492F-8FD8-A4FEA61ACEB8}</b:Guid>
    <b:Title>The Influence of service quality Towards the Customer Satisfaction</b:Title>
    <b:Year>2020</b:Year>
    <b:Author>
      <b:Author>
        <b:NameList>
          <b:Person>
            <b:Last>praseto</b:Last>
            <b:First>Hendrick</b:First>
            <b:Middle>Gunawan and Johan Hendri</b:Middle>
          </b:Person>
        </b:NameList>
      </b:Author>
    </b:Author>
    <b:JournalName>International journal of  Innovate Science and Technology </b:JournalName>
    <b:Pages>ISSN NO:2456-2165</b:Pages>
    <b:RefOrder>11</b:RefOrder>
  </b:Source>
  <b:Source>
    <b:Tag>Par91</b:Tag>
    <b:SourceType>Book</b:SourceType>
    <b:Guid>{CC783FE0-A576-4B70-8E86-923F81F85B1E}</b:Guid>
    <b:Author>
      <b:Author>
        <b:NameList>
          <b:Person>
            <b:Last>Parasuraman</b:Last>
            <b:First>Arun,</b:First>
            <b:Middle>Leonard L, Berry, and Valarie A, Zeithmal</b:Middle>
          </b:Person>
        </b:NameList>
      </b:Author>
    </b:Author>
    <b:Title>Understanding Customer expectations of services</b:Title>
    <b:Year>1991</b:Year>
    <b:Publisher>Management Review 32:39-48</b:Publisher>
    <b:RefOrder>12</b:RefOrder>
  </b:Source>
  <b:Source>
    <b:Tag>Ula17</b:Tag>
    <b:SourceType>Report</b:SourceType>
    <b:Guid>{F19E1CCC-9601-4827-8DC9-EBAB6FFCA7AC}</b:Guid>
    <b:Title>Effect of service quality to customer satisfaction in Tanzania Banking industry</b:Title>
    <b:Year>2017</b:Year>
    <b:Author>
      <b:Author>
        <b:NameList>
          <b:Person>
            <b:Last>Ulaya</b:Last>
            <b:First>Aaroni</b:First>
            <b:Middle>Y</b:Middle>
          </b:Person>
        </b:NameList>
      </b:Author>
    </b:Author>
    <b:RefOrder>13</b:RefOrder>
  </b:Source>
  <b:Source>
    <b:Tag>Tho061</b:Tag>
    <b:SourceType>JournalArticle</b:SourceType>
    <b:Guid>{DBCD44A7-59CF-4E00-AEB4-5ECB563DA1F8}</b:Guid>
    <b:Author>
      <b:Author>
        <b:NameList>
          <b:Person>
            <b:Last>Thong</b:Last>
          </b:Person>
        </b:NameList>
      </b:Author>
    </b:Author>
    <b:Title>The effects of post-adoption beliefs on the expectation-confirmation model for information technology continuence.</b:Title>
    <b:Year>2006</b:Year>
    <b:JournalName>International journalof Human-computer studies,</b:JournalName>
    <b:Pages>64, 799-810</b:Pages>
    <b:RefOrder>14</b:RefOrder>
  </b:Source>
  <b:Source>
    <b:Tag>San18</b:Tag>
    <b:SourceType>Book</b:SourceType>
    <b:Guid>{0781E2C4-6D5D-456C-B106-EE9FBE10442F}</b:Guid>
    <b:Title>Expectancy Disconfirmatin theory</b:Title>
    <b:Year>2018</b:Year>
    <b:Author>
      <b:Author>
        <b:NameList>
          <b:Person>
            <b:Last>chakravartty</b:Last>
            <b:First>Sandeep</b:First>
          </b:Person>
        </b:NameList>
      </b:Author>
    </b:Author>
    <b:Publisher>Quality engeneer lead </b:Publisher>
    <b:RefOrder>15</b:RefOrder>
  </b:Source>
  <b:Source>
    <b:Tag>Kha19</b:Tag>
    <b:SourceType>Book</b:SourceType>
    <b:Guid>{73E19C4B-E629-44BE-8AE9-CA5B4F9947CC}</b:Guid>
    <b:Title>Dimensions of services marketing mix and its effects on customer satisfaction. A case study of international Kurdistan banking.</b:Title>
    <b:Year>2019</b:Year>
    <b:City>Erbil city iraq</b:City>
    <b:Publisher>Test engineering and management (4846), 4846-4855</b:Publisher>
    <b:Author>
      <b:Author>
        <b:NameList>
          <b:Person>
            <b:Last>Khatib Esmael</b:Last>
            <b:First>.,&amp;</b:First>
            <b:Middle>Otham B.</b:Middle>
          </b:Person>
        </b:NameList>
      </b:Author>
    </b:Author>
    <b:JournalName>A case study of international kurdistan banking Erbil city Iraq, tes</b:JournalName>
    <b:Pages>(4846), 4846-4855</b:Pages>
    <b:RefOrder>16</b:RefOrder>
  </b:Source>
  <b:Source>
    <b:Tag>Oth13</b:Tag>
    <b:SourceType>Book</b:SourceType>
    <b:Guid>{534CDD79-554E-45E1-B68A-7DDD86E7FC69}</b:Guid>
    <b:Author>
      <b:Author>
        <b:NameList>
          <b:Person>
            <b:Last>Othaman</b:Last>
          </b:Person>
        </b:NameList>
      </b:Author>
    </b:Author>
    <b:Title>The influence of technology acceptance model on behavioral intantion to use internet banking system.</b:Title>
    <b:Year>January 2013</b:Year>
    <b:City>Malysia</b:City>
    <b:Publisher>University technology </b:Publisher>
    <b:RefOrder>65</b:RefOrder>
  </b:Source>
  <b:Source>
    <b:Tag>Sol18</b:Tag>
    <b:SourceType>JournalArticle</b:SourceType>
    <b:Guid>{38FD1D25-0B05-431C-AA56-4102AAB91A10}</b:Guid>
    <b:Author>
      <b:Author>
        <b:NameList>
          <b:Person>
            <b:Last>Solimun</b:Last>
            <b:First>Fernandes</b:First>
            <b:Middle>&amp;</b:Middle>
          </b:Person>
        </b:NameList>
      </b:Author>
    </b:Author>
    <b:Title>The mediation effect of customer satisfaction in the relationship between service quality, service orentation and marketing mix strategy to customer loyality</b:Title>
    <b:Year>2018</b:Year>
    <b:JournalName>Journal of managment development</b:JournalName>
    <b:Pages>3(1) 76-78 https;//doi.rg/10.1108/JMD-122016-0315</b:Pages>
    <b:RefOrder>66</b:RefOrder>
  </b:Source>
  <b:Source>
    <b:Tag>Aro14</b:Tag>
    <b:SourceType>JournalArticle</b:SourceType>
    <b:Guid>{2BA693AA-2916-4458-BD3B-8BA0C7D65D9D}</b:Guid>
    <b:Author>
      <b:Author>
        <b:NameList>
          <b:Person>
            <b:Last>Arokiasamy &amp;Tat</b:Last>
          </b:Person>
        </b:NameList>
      </b:Author>
    </b:Author>
    <b:Title>Assessing the relationship between service quality and customer satisfaction in Malysia, Automotive Insuarance Industry, Middle east</b:Title>
    <b:JournalName>Journal of scientific Research</b:JournalName>
    <b:Year>2014</b:Year>
    <b:Pages>20(9), 1023-1030</b:Pages>
    <b:RefOrder>17</b:RefOrder>
  </b:Source>
  <b:Source>
    <b:Tag>Bha13</b:Tag>
    <b:SourceType>JournalArticle</b:SourceType>
    <b:Guid>{EE5D6D56-BC11-422E-B94E-DB2D070EF5AF}</b:Guid>
    <b:Author>
      <b:Author>
        <b:NameList>
          <b:Person>
            <b:Last>Bharwana</b:Last>
            <b:First>Bashir</b:First>
            <b:Middle>&amp; Mohsin M.</b:Middle>
          </b:Person>
        </b:NameList>
      </b:Author>
    </b:Author>
    <b:Title>Impact of service quality on customer's satisfaction; A study from service sector especially privte  collages of faisalah, pumjab, pakistan.</b:Title>
    <b:JournalName>International Journal of scientific and research publication </b:JournalName>
    <b:Year>2013</b:Year>
    <b:Pages>3(5) 1-7</b:Pages>
    <b:RefOrder>18</b:RefOrder>
  </b:Source>
  <b:Source>
    <b:Tag>ALA15</b:Tag>
    <b:SourceType>JournalArticle</b:SourceType>
    <b:Guid>{1535F06C-E7C6-4F69-8FCC-92D328C842FF}</b:Guid>
    <b:Author>
      <b:Author>
        <b:NameList>
          <b:Person>
            <b:Last>AL-Azzam</b:Last>
          </b:Person>
        </b:NameList>
      </b:Author>
    </b:Author>
    <b:Title>The impact of service quality dimension on customer satisfaction.  A field study Arab Bank in Iribid city.</b:Title>
    <b:JournalName>Eruapean journal of business and management</b:JournalName>
    <b:Year>2015</b:Year>
    <b:Pages>7(150, 45-43</b:Pages>
    <b:RefOrder>19</b:RefOrder>
  </b:Source>
  <b:Source>
    <b:Tag>Oma15</b:Tag>
    <b:SourceType>JournalArticle</b:SourceType>
    <b:Guid>{A7C8B340-F0B9-46D0-90AA-FB8A89A4DEB5}</b:Guid>
    <b:Author>
      <b:Author>
        <b:NameList>
          <b:Person>
            <b:Last>Omar</b:Last>
            <b:First>Saadan,</b:First>
            <b:Middle>Seman</b:Middle>
          </b:Person>
        </b:NameList>
      </b:Author>
    </b:Author>
    <b:Title>Determining the influence of the Relability of service Quality on customer satisfaction. The case of Libyan</b:Title>
    <b:JournalName>International Journal of learning of learning &amp; development</b:JournalName>
    <b:Year>2015</b:Year>
    <b:Pages>5(1) 86-89</b:Pages>
    <b:RefOrder>20</b:RefOrder>
  </b:Source>
  <b:Source>
    <b:Tag>Sur14</b:Tag>
    <b:SourceType>JournalArticle</b:SourceType>
    <b:Guid>{BBB39956-31C2-47E1-8CD0-05B96AE1302D}</b:Guid>
    <b:Title>Customer satisfaction on Tangibility of Banking service in thanjavar city. </b:Title>
    <b:JournalName>Journal of  Research in commerce &amp; Managment</b:JournalName>
    <b:Year>2014</b:Year>
    <b:Pages>3(9), 76-84</b:Pages>
    <b:Author>
      <b:Author>
        <b:NameList>
          <b:Person>
            <b:Last>Sureshbab</b:Last>
            <b:First>B.,Devasenathipathi,</b:First>
            <b:Middle>&amp;Vijay,</b:Middle>
          </b:Person>
        </b:NameList>
      </b:Author>
    </b:Author>
    <b:RefOrder>22</b:RefOrder>
  </b:Source>
  <b:Source>
    <b:Tag>Kha14</b:Tag>
    <b:SourceType>JournalArticle</b:SourceType>
    <b:Guid>{D10DDFB4-4CA2-4F8A-9783-91D5F977D957}</b:Guid>
    <b:Author>
      <b:Author>
        <b:NameList>
          <b:Person>
            <b:Last>Khan</b:Last>
            <b:First>M.M.,</b:First>
            <b:Middle>&amp; Fasih,</b:Middle>
          </b:Person>
        </b:NameList>
      </b:Author>
    </b:Author>
    <b:Title>Impact of service quality on cusstomer satisfaction and customer loyality ; Evidence from banking , pakistan.</b:Title>
    <b:JournalName>Journal of commerce and social science </b:JournalName>
    <b:Year>2014</b:Year>
    <b:Pages>8(2), 331-354</b:Pages>
    <b:RefOrder>23</b:RefOrder>
  </b:Source>
  <b:Source>
    <b:Tag>Hus14</b:Tag>
    <b:SourceType>JournalArticle</b:SourceType>
    <b:Guid>{199131FB-5C29-47BA-ABA9-1B8332BD7A0F}</b:Guid>
    <b:Author>
      <b:Author>
        <b:NameList>
          <b:Person>
            <b:Last>Hussein</b:Last>
            <b:First>R,</b:First>
            <b:Middle>Nasser A.A&amp; Hussain</b:Middle>
          </b:Person>
        </b:NameList>
      </b:Author>
    </b:Author>
    <b:Title>Service quality and customer satisfaction of UAE based Airline:An Emperical Investigation </b:Title>
    <b:JournalName>Journal of Air Transort Management</b:JournalName>
    <b:Year>2014</b:Year>
    <b:Pages>167-175</b:Pages>
    <b:RefOrder>21</b:RefOrder>
  </b:Source>
  <b:Source>
    <b:Tag>She13</b:Tag>
    <b:SourceType>JournalArticle</b:SourceType>
    <b:Guid>{948C153F-4977-4DC5-B409-DC5A0CC06DD5}</b:Guid>
    <b:Author>
      <b:Author>
        <b:NameList>
          <b:Person>
            <b:Last>Shed Chinwuba Moguluwa</b:Last>
            <b:First>E</b:First>
            <b:Middle>Ode</b:Middle>
          </b:Person>
        </b:NameList>
      </b:Author>
    </b:Author>
    <b:Title>Evaluating customer perceived service quality and customer satisfaction in the Nigerian Banking Industry</b:Title>
    <b:JournalName>Far East Journal of Psychology and Business</b:JournalName>
    <b:Year>2013</b:Year>
    <b:Pages>11(3), 34-46</b:Pages>
    <b:RefOrder>24</b:RefOrder>
  </b:Source>
  <b:Source>
    <b:Tag>New01</b:Tag>
    <b:SourceType>JournalArticle</b:SourceType>
    <b:Guid>{7432BA73-C14D-480B-9B75-992D09E9CF91}</b:Guid>
    <b:Author>
      <b:Author>
        <b:NameList>
          <b:Person>
            <b:Last>Newman</b:Last>
          </b:Person>
        </b:NameList>
      </b:Author>
    </b:Author>
    <b:Title>Interrograting SERVQUAL; A critical assessment of service quality measurements in a high Street Retail Bank,</b:Title>
    <b:JournalName>International Journal of bank Marketing,</b:JournalName>
    <b:Year>2001</b:Year>
    <b:Pages>10(3), 1-4</b:Pages>
    <b:RefOrder>25</b:RefOrder>
  </b:Source>
  <b:Source>
    <b:Tag>Kot01</b:Tag>
    <b:SourceType>Book</b:SourceType>
    <b:Guid>{9F145275-FDAF-404D-80E8-88DDF41F6CDD}</b:Guid>
    <b:Author>
      <b:Author>
        <b:NameList>
          <b:Person>
            <b:Last>Kotler &amp;Armstrong</b:Last>
          </b:Person>
        </b:NameList>
      </b:Author>
    </b:Author>
    <b:Title>Principle of marketing</b:Title>
    <b:Year>2001</b:Year>
    <b:City>India</b:City>
    <b:Publisher>Prentice-Hall</b:Publisher>
    <b:RefOrder>26</b:RefOrder>
  </b:Source>
  <b:Source>
    <b:Tag>Ofi07</b:Tag>
    <b:SourceType>JournalArticle</b:SourceType>
    <b:Guid>{EB38981F-26AB-47FC-9338-C86AF48D89BE}</b:Guid>
    <b:Author>
      <b:Author>
        <b:NameList>
          <b:Person>
            <b:Last>Simonson</b:Last>
            <b:First>Ofir</b:First>
            <b:Middle>&amp;</b:Middle>
          </b:Person>
        </b:NameList>
      </b:Author>
    </b:Author>
    <b:Title>Effect of stating expectation on customer satisfaction and shopping experience</b:Title>
    <b:JournalName>Journal of Marketing Research </b:JournalName>
    <b:Year>2007</b:Year>
    <b:Pages>Vol XLIV, PP164-174</b:Pages>
    <b:RefOrder>27</b:RefOrder>
  </b:Source>
  <b:Source>
    <b:Tag>Smi02</b:Tag>
    <b:SourceType>JournalArticle</b:SourceType>
    <b:Guid>{DD9013CE-A1B1-4AE9-A112-38F476306405}</b:Guid>
    <b:Author>
      <b:Author>
        <b:NameList>
          <b:Person>
            <b:Last>Smith</b:Last>
          </b:Person>
        </b:NameList>
      </b:Author>
    </b:Author>
    <b:Title>The effect of customers emotional responses to service failure on their recovery  effort evaluations and satisfaction judgment</b:Title>
    <b:JournalName>Journal of academy of Marketing Science </b:JournalName>
    <b:Year>2002</b:Year>
    <b:Pages>30(1), 5-23</b:Pages>
    <b:RefOrder>28</b:RefOrder>
  </b:Source>
  <b:Source>
    <b:Tag>Eki04</b:Tag>
    <b:SourceType>Book</b:SourceType>
    <b:Guid>{FFEEB7B2-F899-4566-B902-3A20383A8C8C}</b:Guid>
    <b:Title>An examination of the Antecedents and Consequences of customer; In crouch G.,I, Perdue,R.R Timmermans H.J.P &amp; Uysal M. Consumer psychology of tourism hospitality and leisure</b:Title>
    <b:Year>2004</b:Year>
    <b:Author>
      <b:Author>
        <b:NameList>
          <b:Person>
            <b:Last>Ekinci</b:Last>
            <b:First>&amp;</b:First>
            <b:Middle>Sirikaya</b:Middle>
          </b:Person>
        </b:NameList>
      </b:Author>
    </b:Author>
    <b:City>Cambridge ,MA:</b:City>
    <b:Publisher>CABI pp,189-202</b:Publisher>
    <b:RefOrder>29</b:RefOrder>
  </b:Source>
  <b:Source>
    <b:Tag>Ara05</b:Tag>
    <b:SourceType>JournalArticle</b:SourceType>
    <b:Guid>{0476F98E-ABAC-4F6C-A5F3-08F0D61E451D}</b:Guid>
    <b:Author>
      <b:Author>
        <b:NameList>
          <b:Person>
            <b:Last>Arasil</b:Last>
            <b:First>Mehtap-Smadi</b:First>
            <b:Middle>and Katircioglu</b:Middle>
          </b:Person>
        </b:NameList>
      </b:Author>
    </b:Author>
    <b:Title>Customer service quality in the greek cypriot banking industry</b:Title>
    <b:Year>2005</b:Year>
    <b:JournalName>Managing service quality </b:JournalName>
    <b:Pages>Vol. 15 No. 1.pp 41-576</b:Pages>
    <b:RefOrder>30</b:RefOrder>
  </b:Source>
  <b:Source>
    <b:Tag>Kot04</b:Tag>
    <b:SourceType>Book</b:SourceType>
    <b:Guid>{47BFECE3-DF80-484B-BEFC-422C20CC7F23}</b:Guid>
    <b:Title>Research methodology: Methods and techniques to print 1st edition</b:Title>
    <b:Year>2004</b:Year>
    <b:Author>
      <b:Author>
        <b:NameList>
          <b:Person>
            <b:Last>Kothari</b:Last>
          </b:Person>
        </b:NameList>
      </b:Author>
    </b:Author>
    <b:Publisher>New age international(P) Ltd</b:Publisher>
    <b:RefOrder>31</b:RefOrder>
  </b:Source>
  <b:Source>
    <b:Tag>Placeholder1</b:Tag>
    <b:SourceType>Book</b:SourceType>
    <b:Guid>{9A8FCA4A-0EA4-427E-8E82-F946F99A84AD}</b:Guid>
    <b:RefOrder>67</b:RefOrder>
  </b:Source>
  <b:Source>
    <b:Tag>Bha241</b:Tag>
    <b:SourceType>InternetSite</b:SourceType>
    <b:Guid>{C61F3C86-FFBC-41F2-8FDF-82D07D3E2BD9}</b:Guid>
    <b:Title>Scribbr.Retrived</b:Title>
    <b:Year>2024</b:Year>
    <b:Author>
      <b:Author>
        <b:NameList>
          <b:Person>
            <b:Last>Bhandari</b:Last>
          </b:Person>
        </b:NameList>
      </b:Author>
    </b:Author>
    <b:InternetSiteTitle>Population Vs Sample/Difination,Differences and Examples.</b:InternetSiteTitle>
    <b:Month>july</b:Month>
    <b:Day>23</b:Day>
    <b:URL>http://www.scribbr.com/Methodology/Population.</b:URL>
    <b:RefOrder>32</b:RefOrder>
  </b:Source>
  <b:Source>
    <b:Tag>Rus</b:Tag>
    <b:SourceType>JournalArticle</b:SourceType>
    <b:Guid>{6F825C78-B3DE-40F0-81CC-B6A94420E07C}</b:Guid>
    <b:Author>
      <b:Author>
        <b:NameList>
          <b:Person>
            <b:Last>Oliver</b:Last>
          </b:Person>
        </b:NameList>
      </b:Author>
    </b:Author>
    <b:Title>an assesment of the relationship between service quality and customer satisfaction in the formation of consumer's purchase intentions</b:Title>
    <b:JournalName>journal of reteiling</b:JournalName>
    <b:Year>1994</b:Year>
    <b:Pages>163-178</b:Pages>
    <b:RefOrder>33</b:RefOrder>
  </b:Source>
  <b:Source>
    <b:Tag>Nel05</b:Tag>
    <b:SourceType>JournalArticle</b:SourceType>
    <b:Guid>{F8FFED29-7882-4DBF-BA9C-8E4CF6DDF713}</b:Guid>
    <b:Author>
      <b:Author>
        <b:NameList>
          <b:Person>
            <b:Last>Ndubisi</b:Last>
            <b:First>Nelson</b:First>
            <b:Middle>oly</b:Middle>
          </b:Person>
        </b:NameList>
      </b:Author>
    </b:Author>
    <b:Title>a structural equstion modelling of the antecedents of relationship quality in the malaysia banking sector</b:Title>
    <b:JournalName>journal of financial service mareting</b:JournalName>
    <b:Year>2006</b:Year>
    <b:Pages>11, 131-141</b:Pages>
    <b:RefOrder>34</b:RefOrder>
  </b:Source>
  <b:Source>
    <b:Tag>spa04</b:Tag>
    <b:SourceType>Report</b:SourceType>
    <b:Guid>{7719A279-872D-4C83-9687-91B7CD54F4E1}</b:Guid>
    <b:Title>managing service quality in banks; customers gender effects.</b:Title>
    <b:JournalName>briti</b:JournalName>
    <b:Year>2004</b:Year>
    <b:Author>
      <b:Author>
        <b:NameList>
          <b:Person>
            <b:Last>Spathis</b:Last>
            <b:First>Petridou</b:First>
            <b:Middle>and Glaveli</b:Middle>
          </b:Person>
        </b:NameList>
      </b:Author>
    </b:Author>
    <b:Publisher>emerald group publishing limited, 14(1),90-102</b:Publisher>
    <b:RefOrder>35</b:RefOrder>
  </b:Source>
  <b:Source>
    <b:Tag>Ali21</b:Tag>
    <b:SourceType>JournalArticle</b:SourceType>
    <b:Guid>{34149981-8BAF-4E84-87E6-7B33E1228ACB}</b:Guid>
    <b:Title>Impact of service Quality on the customer satisfaction: Case study at online meeting platforms.</b:Title>
    <b:Year>2021</b:Year>
    <b:Author>
      <b:Author>
        <b:NameList>
          <b:Person>
            <b:Last>Ali</b:Last>
            <b:First>B.</b:First>
            <b:Middle>J.,Saleh,P.F.,Akoi,S.,Abdulrahman,A.A.,Mohamed,A.S.,Noori,H.N.,&amp;Anwar,G</b:Middle>
          </b:Person>
        </b:NameList>
      </b:Author>
    </b:Author>
    <b:JournalName>International journal of engineering, Business Management</b:JournalName>
    <b:Pages>5(2),65-77</b:Pages>
    <b:URL>https://doi.org</b:URL>
    <b:DOI>10.22161/ijebm.5.2.6</b:DOI>
    <b:RefOrder>36</b:RefOrder>
  </b:Source>
  <b:Source>
    <b:Tag>lee031</b:Tag>
    <b:SourceType>JournalArticle</b:SourceType>
    <b:Guid>{F5A11940-494E-409F-8122-6D5170A720F4}</b:Guid>
    <b:Author>
      <b:Author>
        <b:NameList>
          <b:Person>
            <b:Last>Lee</b:Last>
            <b:First>c.</b:First>
            <b:Middle>y.</b:Middle>
          </b:Person>
        </b:NameList>
      </b:Author>
    </b:Author>
    <b:Title>do traditional values still exist in modern chinese society?</b:Title>
    <b:JournalName>Asia - Europe journal</b:JournalName>
    <b:Year>2003</b:Year>
    <b:Pages>1 (1), 43-59  http//dx.doi.org/10.1007/s103080200001</b:Pages>
    <b:RefOrder>37</b:RefOrder>
  </b:Source>
  <b:Source>
    <b:Tag>Par85</b:Tag>
    <b:SourceType>JournalArticle</b:SourceType>
    <b:Guid>{23866EEB-888E-4F7C-BC33-0B37A7B5F800}</b:Guid>
    <b:Author>
      <b:Author>
        <b:NameList>
          <b:Person>
            <b:Last>Parasuraman</b:Last>
          </b:Person>
        </b:NameList>
      </b:Author>
    </b:Author>
    <b:Title>A conceptual model of service quality and its implications for future research</b:Title>
    <b:Year>1985</b:Year>
    <b:Pages>41-50</b:Pages>
    <b:JournalName>Marketing</b:JournalName>
    <b:RefOrder>38</b:RefOrder>
  </b:Source>
  <b:Source>
    <b:Tag>cro00</b:Tag>
    <b:SourceType>JournalArticle</b:SourceType>
    <b:Guid>{4C05C3B7-FF26-432D-9285-02660F28605F}</b:Guid>
    <b:Author>
      <b:Author>
        <b:NameList>
          <b:Person>
            <b:Last>Cronin</b:Last>
            <b:First>J.</b:First>
            <b:Middle>J., Brady, M. . and Hult, G. T.</b:Middle>
          </b:Person>
        </b:NameList>
      </b:Author>
    </b:Author>
    <b:Title>assessing the effect of quality, value and customer satsifaction on consumer behavioral intentions in service enviroments.</b:Title>
    <b:JournalName>journal of retailing</b:JournalName>
    <b:Year>2000</b:Year>
    <b:Pages>76(2), 193-218</b:Pages>
    <b:RefOrder>39</b:RefOrder>
  </b:Source>
  <b:Source>
    <b:Tag>kan04</b:Tag>
    <b:SourceType>JournalArticle</b:SourceType>
    <b:Guid>{96B86201-E552-4EE5-88E9-2BD02BFCF711}</b:Guid>
    <b:Author>
      <b:Author>
        <b:NameList>
          <b:Person>
            <b:Last>Kang</b:Last>
            <b:First>g.,</b:First>
            <b:Middle>and Kames, J</b:Middle>
          </b:Person>
        </b:NameList>
      </b:Author>
    </b:Author>
    <b:Title>service quality dimension: an examination of gronroos service quality model,</b:Title>
    <b:JournalName>managing service quality</b:JournalName>
    <b:Year>2004</b:Year>
    <b:Pages>14(4), 266-77</b:Pages>
    <b:RefOrder>40</b:RefOrder>
  </b:Source>
  <b:Source>
    <b:Tag>ara05</b:Tag>
    <b:SourceType>JournalArticle</b:SourceType>
    <b:Guid>{2C28F474-A1F8-41B9-AEC4-F627FFA28CFF}</b:Guid>
    <b:Author>
      <b:Author>
        <b:NameList>
          <b:Person>
            <b:Last>Aratepe</b:Last>
            <b:First>O.,</b:First>
            <b:Middle>Yavas, U. and Babaus, E.</b:Middle>
          </b:Person>
        </b:NameList>
      </b:Author>
    </b:Author>
    <b:Title>measuring service quality of banks:scale development and validation,</b:Title>
    <b:JournalName>journal of retailing and consumer services,</b:JournalName>
    <b:Year>2005</b:Year>
    <b:Pages>12, 319-327</b:Pages>
    <b:RefOrder>41</b:RefOrder>
  </b:Source>
  <b:Source>
    <b:Tag>sto941</b:Tag>
    <b:SourceType>JournalArticle</b:SourceType>
    <b:Guid>{30C89D3F-5401-4689-8CB6-80F1F5D411C1}</b:Guid>
    <b:Title>Managing customer relationships for profit: The dyanamics of relationship quality.</b:Title>
    <b:JournalName>internal journal of service industry management,</b:JournalName>
    <b:Year>1994</b:Year>
    <b:Pages>5(5), 21-38. Doi:10.1108/09564239410074358</b:Pages>
    <b:Author>
      <b:Author>
        <b:NameList>
          <b:Person>
            <b:Last>Storbacka</b:Last>
            <b:First>K.,</b:First>
            <b:Middle>Strandvik, T.,&amp; Gronroos, C.</b:Middle>
          </b:Person>
        </b:NameList>
      </b:Author>
    </b:Author>
    <b:RefOrder>42</b:RefOrder>
  </b:Source>
  <b:Source>
    <b:Tag>chi101</b:Tag>
    <b:SourceType>JournalArticle</b:SourceType>
    <b:Guid>{B3CD9FFB-A99A-4404-8B3D-04AB68697282}</b:Guid>
    <b:Author>
      <b:Author>
        <b:NameList>
          <b:Person>
            <b:Last>Luong</b:Last>
            <b:First>Chingang</b:First>
            <b:Middle>and</b:Middle>
          </b:Person>
        </b:NameList>
      </b:Author>
    </b:Author>
    <b:Title>the application model for assesing link between quality service and customer satisfaction</b:Title>
    <b:Year>2010</b:Year>
    <b:RefOrder>43</b:RefOrder>
  </b:Source>
  <b:Source>
    <b:Tag>nam18</b:Tag>
    <b:SourceType>JournalArticle</b:SourceType>
    <b:Guid>{2743F396-AE14-4574-86DF-CEC17D527E66}</b:Guid>
    <b:Author>
      <b:Author>
        <b:NameList>
          <b:Person>
            <b:Last>Nambiar</b:Last>
            <b:First>B.</b:First>
            <b:Middle>., Ramanath, H. N., Rana, S. and Prashar, S.</b:Middle>
          </b:Person>
        </b:NameList>
      </b:Author>
    </b:Author>
    <b:Title>Perceive service quality and customer satisfication</b:Title>
    <b:JournalName>A missing link in indian banking sector</b:JournalName>
    <b:Year>2018</b:Year>
    <b:Pages>vision 23(1):44-55</b:Pages>
    <b:RefOrder>44</b:RefOrder>
  </b:Source>
  <b:Source>
    <b:Tag>Man07</b:Tag>
    <b:SourceType>JournalArticle</b:SourceType>
    <b:Guid>{84FF5ED9-CE2D-453B-B054-D44DCCCAF3BF}</b:Guid>
    <b:Author>
      <b:Author>
        <b:NameList>
          <b:Person>
            <b:Last>Manrai</b:Last>
            <b:First>L.</b:First>
            <b:Middle>A.,&amp; Manrai, A. K.</b:Middle>
          </b:Person>
        </b:NameList>
      </b:Author>
    </b:Author>
    <b:Title>A field study of customers switching behavior for bank services.</b:Title>
    <b:JournalName>journal of commercializing and consumer service,</b:JournalName>
    <b:Year>2007</b:Year>
    <b:Pages>14(3), 208-215</b:Pages>
    <b:RefOrder>45</b:RefOrder>
  </b:Source>
  <b:Source>
    <b:Tag>Kha10</b:Tag>
    <b:SourceType>JournalArticle</b:SourceType>
    <b:Guid>{3D26DBC3-88E1-4730-A7E2-10302D718170}</b:Guid>
    <b:Author>
      <b:Author>
        <b:NameList>
          <b:Person>
            <b:Last>Khalid</b:Last>
            <b:First>S.&amp;Irshad,M,Z</b:First>
          </b:Person>
        </b:NameList>
      </b:Author>
    </b:Author>
    <b:Title>Job satisfaction among bank employees in punjabi; paistan A comperative study.</b:Title>
    <b:JournalName>European journal of social science</b:JournalName>
    <b:Year>2010</b:Year>
    <b:Pages>17(4), 50-557</b:Pages>
    <b:RefOrder>46</b:RefOrder>
  </b:Source>
  <b:Source>
    <b:Tag>Abb0a1</b:Tag>
    <b:SourceType>Book</b:SourceType>
    <b:Guid>{F753364C-463D-45F5-9224-16E75D1BA575}</b:Guid>
    <b:Author>
      <b:Author>
        <b:NameList>
          <b:Person>
            <b:Last>Abbot</b:Last>
            <b:First>P.</b:First>
            <b:Middle>and Lwaabamba,G</b:Middle>
          </b:Person>
        </b:NameList>
      </b:Author>
    </b:Author>
    <b:Title>Developing A customer centric organizations.</b:Title>
    <b:Year>2010a</b:Year>
    <b:City>Kigali</b:City>
    <b:Publisher>Institute of policy analysis and research</b:Publisher>
    <b:StateProvince>Kigali</b:StateProvince>
    <b:CountryRegion>Rwanda</b:CountryRegion>
    <b:RefOrder>47</b:RefOrder>
  </b:Source>
  <b:Source>
    <b:Tag>Twa09</b:Tag>
    <b:SourceType>Book</b:SourceType>
    <b:Guid>{B154C2A9-CB27-4250-9240-3CD3B369EFB7}</b:Guid>
    <b:Author>
      <b:Author>
        <b:Corporate>Twagira</b:Corporate>
      </b:Author>
    </b:Author>
    <b:Title>Rwanda doing business reform</b:Title>
    <b:Year>2009</b:Year>
    <b:City>Kigali</b:City>
    <b:Publisher>Motion picture</b:Publisher>
    <b:RefOrder>48</b:RefOrder>
  </b:Source>
  <b:Source>
    <b:Tag>Ric97</b:Tag>
    <b:SourceType>JournalArticle</b:SourceType>
    <b:Guid>{863D2027-DCAA-4434-B7DC-7E2DB70633DE}</b:Guid>
    <b:Author>
      <b:Author>
        <b:Corporate>Oliver</b:Corporate>
      </b:Author>
    </b:Author>
    <b:Title>A cognitive model of antecedents and consequences of satisfaction decisions</b:Title>
    <b:JournalName>Journal of marketing research</b:JournalName>
    <b:Year>1997</b:Year>
    <b:Pages>17(4):460-469</b:Pages>
    <b:RefOrder>49</b:RefOrder>
  </b:Source>
  <b:Source>
    <b:Tag>Oli80</b:Tag>
    <b:SourceType>JournalArticle</b:SourceType>
    <b:Guid>{C92F20AD-5EFE-4ED3-AD2B-AB2BBC640046}</b:Guid>
    <b:Author>
      <b:Author>
        <b:Corporate>Oliver</b:Corporate>
      </b:Author>
    </b:Author>
    <b:Title>A cognitive model of antecedents of satisfaction judgment</b:Title>
    <b:JournalName>Journal of customer research</b:JournalName>
    <b:Year>1980</b:Year>
    <b:Pages>14(2),495-507</b:Pages>
    <b:RefOrder>50</b:RefOrder>
  </b:Source>
  <b:Source>
    <b:Tag>Par88</b:Tag>
    <b:SourceType>JournalArticle</b:SourceType>
    <b:Guid>{8F2A261B-033A-4D03-8B3B-C3246CC9F4C4}</b:Guid>
    <b:Author>
      <b:Author>
        <b:Corporate>Parasuraman, </b:Corporate>
      </b:Author>
    </b:Author>
    <b:Title>Servqual: A multiple-item scale for measuring consumer perceptions of service quality</b:Title>
    <b:JournalName>Journal of Retailing</b:JournalName>
    <b:Year>1988</b:Year>
    <b:Pages>64(1), 12-40.</b:Pages>
    <b:RefOrder>51</b:RefOrder>
  </b:Source>
  <b:Source>
    <b:Tag>Tho06</b:Tag>
    <b:SourceType>JournalArticle</b:SourceType>
    <b:Guid>{46067543-11A2-4745-BF3A-6FDE5AC8A321}</b:Guid>
    <b:Author>
      <b:Author>
        <b:NameList>
          <b:Person>
            <b:Last>Thong J. Y.</b:Last>
            <b:First>Hong</b:First>
            <b:Middle>S.-J., Tam K. Y.</b:Middle>
          </b:Person>
        </b:NameList>
      </b:Author>
    </b:Author>
    <b:Title>The effects of post-adoption beliefs on the expectation-confirmation model for information technology continuance.</b:Title>
    <b:Year>2006</b:Year>
    <b:JournalName>international journal of human- computer studies</b:JournalName>
    <b:Pages>64, 799-810</b:Pages>
    <b:RefOrder>52</b:RefOrder>
  </b:Source>
  <b:Source>
    <b:Tag>Bla06</b:Tag>
    <b:SourceType>Book</b:SourceType>
    <b:Guid>{94C60443-D756-45D8-AB67-7D7E91F195F9}</b:Guid>
    <b:Author>
      <b:Author>
        <b:NameList>
          <b:Person>
            <b:Last>Blackwell</b:Last>
            <b:First>Miniard</b:First>
            <b:Middle>and Engel</b:Middle>
          </b:Person>
        </b:NameList>
      </b:Author>
    </b:Author>
    <b:Title>consumer behaviour (10th Ed.)</b:Title>
    <b:JournalName>Thomson learning</b:JournalName>
    <b:Year>2006</b:Year>
    <b:Publisher>Thomson learning</b:Publisher>
    <b:RefOrder>53</b:RefOrder>
  </b:Source>
  <b:Source>
    <b:Tag>Zei96</b:Tag>
    <b:SourceType>JournalArticle</b:SourceType>
    <b:Guid>{D8056676-D390-435B-971C-BB91A90921A2}</b:Guid>
    <b:Author>
      <b:Author>
        <b:NameList>
          <b:Person>
            <b:Last>Zeithaml</b:Last>
          </b:Person>
        </b:NameList>
      </b:Author>
    </b:Author>
    <b:Title>The behavioral consequences of service quality</b:Title>
    <b:JournalName>The Journal of Marketing</b:JournalName>
    <b:Year>1996</b:Year>
    <b:Pages>60(2), 31-46</b:Pages>
    <b:RefOrder>54</b:RefOrder>
  </b:Source>
  <b:Source>
    <b:Tag>And93</b:Tag>
    <b:SourceType>JournalArticle</b:SourceType>
    <b:Guid>{ACD121DE-CB75-4B19-AB59-B241DC212BF4}</b:Guid>
    <b:Author>
      <b:Author>
        <b:NameList>
          <b:Person>
            <b:Last>Anderson</b:Last>
            <b:First>E.</b:First>
            <b:Middle>W., &amp; Sullivan, M. W.</b:Middle>
          </b:Person>
        </b:NameList>
      </b:Author>
    </b:Author>
    <b:Title>The antecedents and consequences of customer satisfaction for firms</b:Title>
    <b:JournalName>Marketing Science</b:JournalName>
    <b:Year>1993</b:Year>
    <b:Pages>12(2), 125-143.</b:Pages>
    <b:RefOrder>55</b:RefOrder>
  </b:Source>
  <b:Source>
    <b:Tag>Spr96</b:Tag>
    <b:SourceType>JournalArticle</b:SourceType>
    <b:Guid>{1D2DB6EA-AAF5-406B-89A6-2DC2422B96E3}</b:Guid>
    <b:Author>
      <b:Author>
        <b:NameList>
          <b:Person>
            <b:Last>Spreng</b:Last>
          </b:Person>
        </b:NameList>
      </b:Author>
    </b:Author>
    <b:Title>An empirical examination of a model of perceived service quality and satisfaction</b:Title>
    <b:JournalName>Journal of Retailing</b:JournalName>
    <b:Year>1996</b:Year>
    <b:Pages>72(2), 201-214.</b:Pages>
    <b:RefOrder>56</b:RefOrder>
  </b:Source>
  <b:Source>
    <b:Tag>Spr961</b:Tag>
    <b:SourceType>JournalArticle</b:SourceType>
    <b:Guid>{59FBCAE9-13B8-4E7C-9860-2D99DE8D6D9B}</b:Guid>
    <b:Author>
      <b:Author>
        <b:Corporate>Spreng, </b:Corporate>
      </b:Author>
    </b:Author>
    <b:Title>An empirical examination of a model of perceived service quality and satisfaction.</b:Title>
    <b:JournalName>Journal of Retailing,</b:JournalName>
    <b:Year>1996</b:Year>
    <b:Pages>72(2), 201-214.</b:Pages>
    <b:RefOrder>57</b:RefOrder>
  </b:Source>
  <b:Source>
    <b:Tag>Cro94</b:Tag>
    <b:SourceType>JournalArticle</b:SourceType>
    <b:Guid>{C160EE1D-7871-434F-AF5C-45CFAF121F01}</b:Guid>
    <b:Author>
      <b:Author>
        <b:NameList>
          <b:Person>
            <b:Last>Cronin Jr</b:Last>
            <b:First>J.</b:First>
            <b:Middle>J., &amp; Taylor, S. A.</b:Middle>
          </b:Person>
        </b:NameList>
      </b:Author>
    </b:Author>
    <b:Title>SERVPERF versus SERVQUAL: Reconciling performance-based and perceptions-minus-expectations measurement of service quality.</b:Title>
    <b:JournalName>Journal of Marketing,</b:JournalName>
    <b:Year>1994</b:Year>
    <b:Pages>58(1), 125-131</b:Pages>
    <b:RefOrder>58</b:RefOrder>
  </b:Source>
  <b:Source>
    <b:Tag>Oli77</b:Tag>
    <b:SourceType>JournalArticle</b:SourceType>
    <b:Guid>{0FD5CC65-B8FF-4C0D-894D-CBA103D51534}</b:Guid>
    <b:Author>
      <b:Author>
        <b:Corporate>Oliver, </b:Corporate>
      </b:Author>
    </b:Author>
    <b:Title>Effect of expectation and disconfirmation on postexposure product evaluations: An alternative interpretatio</b:Title>
    <b:JournalName>Journal of Applied Psychology</b:JournalName>
    <b:Year>1977</b:Year>
    <b:Pages>62(4), 480-486</b:Pages>
    <b:RefOrder>59</b:RefOrder>
  </b:Source>
  <b:Source>
    <b:Tag>Bou93</b:Tag>
    <b:SourceType>JournalArticle</b:SourceType>
    <b:Guid>{500DABDC-1850-46B5-B410-69B8CAC33667}</b:Guid>
    <b:Author>
      <b:Author>
        <b:NameList>
          <b:Person>
            <b:Last>Boulding</b:Last>
            <b:First>W.,</b:First>
            <b:Middle>Kalra, A., Staelin, R., &amp; Zeithaml, V. A.</b:Middle>
          </b:Person>
        </b:NameList>
      </b:Author>
    </b:Author>
    <b:Title>A dynamic process model of service quality: From expectations to behavioral intentions.</b:Title>
    <b:JournalName> Journal of Marketing Research, </b:JournalName>
    <b:Year>1993</b:Year>
    <b:Pages>30(1), 7-27</b:Pages>
    <b:RefOrder>60</b:RefOrder>
  </b:Source>
  <b:Source>
    <b:Tag>Mit99</b:Tag>
    <b:SourceType>JournalArticle</b:SourceType>
    <b:Guid>{E371B2AA-3579-4856-86DA-77DC65A22FD0}</b:Guid>
    <b:Author>
      <b:Author>
        <b:NameList>
          <b:Person>
            <b:Last>Mittal</b:Last>
            <b:First>V.,</b:First>
            <b:Middle>Kumar, P., &amp; Tsiros, M.</b:Middle>
          </b:Person>
        </b:NameList>
      </b:Author>
    </b:Author>
    <b:Title>Attribute-level performance, satisfaction, and behavioral intentions over time: A consumption-system approach.</b:Title>
    <b:JournalName>Journal of Marketing</b:JournalName>
    <b:Year>1999</b:Year>
    <b:Pages>63(2), 88-101</b:Pages>
    <b:RefOrder>61</b:RefOrder>
  </b:Source>
  <b:Source>
    <b:Tag>Sny78</b:Tag>
    <b:SourceType>JournalArticle</b:SourceType>
    <b:Guid>{68941A1B-396C-4546-8680-B42A738B1C72}</b:Guid>
    <b:Author>
      <b:Author>
        <b:NameList>
          <b:Person>
            <b:Last>Snyder</b:Last>
            <b:First>M.,</b:First>
            <b:Middle>&amp; Swann, W. B.</b:Middle>
          </b:Person>
        </b:NameList>
      </b:Author>
    </b:Author>
    <b:Title>Behavioral confirmation in social interaction: From social perception to social reality.</b:Title>
    <b:JournalName>Journal of Experimental Social Psychology,</b:JournalName>
    <b:Year>1978</b:Year>
    <b:Pages>14(2), 148-162.</b:Pages>
    <b:RefOrder>62</b:RefOrder>
  </b:Source>
  <b:Source>
    <b:Tag>Ric86</b:Tag>
    <b:SourceType>JournalArticle</b:SourceType>
    <b:Guid>{E359C013-8433-4050-9169-53E888D04AE9}</b:Guid>
    <b:Author>
      <b:Author>
        <b:NameList>
          <b:Person>
            <b:Last>Richins</b:Last>
            <b:First>M.</b:First>
            <b:Middle>L., &amp; Bloch, P. H.</b:Middle>
          </b:Person>
        </b:NameList>
      </b:Author>
    </b:Author>
    <b:Title>After the new wears off: The temporal context of product involvement</b:Title>
    <b:JournalName>Journal of Consumer Research,</b:JournalName>
    <b:Year>1986</b:Year>
    <b:Pages>13(2), 280-285</b:Pages>
    <b:RefOrder>63</b:RefOrder>
  </b:Source>
  <b:Source>
    <b:Tag>Placeholder2</b:Tag>
    <b:SourceType>JournalArticle</b:SourceType>
    <b:Guid>{50085FA1-1204-4FD6-80E4-FBE801F01E88}</b:Guid>
    <b:Author>
      <b:Author>
        <b:NameList>
          <b:Person>
            <b:Last>Smith</b:Last>
            <b:First>A.</b:First>
            <b:Middle>K., &amp; Bolton, R. N.</b:Middle>
          </b:Person>
        </b:NameList>
      </b:Author>
    </b:Author>
    <b:Title>The effect of customers' emotional responses to service failures on their recovery effort evaluations and satisfaction judgment</b:Title>
    <b:JournalName>Journal of the Academy of Marketing Science</b:JournalName>
    <b:Year>2002</b:Year>
    <b:Pages>30(1), 5-23.</b:Pages>
    <b:RefOrder>64</b:RefOrder>
  </b:Source>
  <b:Source>
    <b:Tag>bry07</b:Tag>
    <b:SourceType>Book</b:SourceType>
    <b:Guid>{3D2754C4-2701-429D-8FCB-4FD175C4DB84}</b:Guid>
    <b:Author>
      <b:Author>
        <b:NameList>
          <b:Person>
            <b:Last>Bell</b:Last>
            <b:First>Bryman</b:First>
            <b:Middle>and</b:Middle>
          </b:Person>
        </b:NameList>
      </b:Author>
    </b:Author>
    <b:Year>2003</b:Year>
    <b:Title>Bussines research method</b:Title>
    <b:City>New York</b:City>
    <b:Publisher>Oxford university press</b:Publisher>
    <b:RefOrder>33</b:RefOrder>
  </b:Source>
  <b:Source>
    <b:Tag>Bha24</b:Tag>
    <b:SourceType>InternetSite</b:SourceType>
    <b:Guid>{572FD261-ED22-42AB-BD2C-22818749BF2F}</b:Guid>
    <b:Author>
      <b:Author>
        <b:NameList>
          <b:Person>
            <b:Last>Bhandari</b:Last>
            <b:First>P.</b:First>
          </b:Person>
        </b:NameList>
      </b:Author>
    </b:Author>
    <b:Title>Population Vs Sample/Defination,Differences and Examples</b:Title>
    <b:Year>2024</b:Year>
    <b:InternetSiteTitle>Scribbr.Retrieved</b:InternetSiteTitle>
    <b:Month>July</b:Month>
    <b:Day>23</b:Day>
    <b:URL>http://www.scribbr.com/methodology/population.</b:URL>
    <b:RefOrder>34</b:RefOrder>
  </b:Source>
  <b:Source>
    <b:Tag>bra02</b:Tag>
    <b:SourceType>JournalArticle</b:SourceType>
    <b:Guid>{43096A16-1168-4E33-A45A-6B9EA562A685}</b:Guid>
    <b:Title>performance -only measurement of service quality: A replication  and extension"</b:Title>
    <b:Year>2002</b:Year>
    <b:Author>
      <b:Author>
        <b:Corporate>brandy, M.K., Cronin, J.J.</b:Corporate>
      </b:Author>
    </b:Author>
    <b:JournalName>journal of marketing,</b:JournalName>
    <b:Pages>vol. 55(1),pp. 17-31</b:Pages>
    <b:RefOrder>35</b:RefOrder>
  </b:Source>
  <b:Source>
    <b:Tag>Rus94</b:Tag>
    <b:SourceType>Book</b:SourceType>
    <b:Guid>{5733BAFD-2810-422E-8AF5-8C45E110F372}</b:Guid>
    <b:Author>
      <b:Author>
        <b:Corporate>Rust, R.Tand oliver, R.L,</b:Corporate>
      </b:Author>
    </b:Author>
    <b:Title>"Service quality : insight and managerial implications from the frontier"</b:Title>
    <b:Year>1994</b:Year>
    <b:City>london, pp. 1-20</b:City>
    <b:Publisher>sage publications</b:Publisher>
    <b:RefOrder>36</b:RefOrder>
  </b:Source>
  <b:Source>
    <b:Tag>par851</b:Tag>
    <b:SourceType>JournalArticle</b:SourceType>
    <b:Guid>{F55B2476-7B48-4E9C-BA77-8D053B434C5A}</b:Guid>
    <b:Author>
      <b:Author>
        <b:Corporate>parasuraman, A., Zeithaml, V.A., &amp; Berry,L.L.</b:Corporate>
      </b:Author>
    </b:Author>
    <b:Title>SERVIQUAL: a multiple item scale for measuring perception of service quality</b:Title>
    <b:Year>1988</b:Year>
    <b:JournalName>journal of retailing </b:JournalName>
    <b:Pages>vol.64,number1,p,12</b:Pages>
    <b:RefOrder>37</b:RefOrder>
  </b:Source>
  <b:Source>
    <b:Tag>Gro82</b:Tag>
    <b:SourceType>JournalArticle</b:SourceType>
    <b:Guid>{A967AEF2-F1E1-43BA-84A7-A595AB04FBF4}</b:Guid>
    <b:Author>
      <b:Author>
        <b:NameList>
          <b:Person>
            <b:Last>Gronroos</b:Last>
            <b:First>C.</b:First>
          </b:Person>
        </b:NameList>
      </b:Author>
    </b:Author>
    <b:Title>A service quality and its marketing implications.</b:Title>
    <b:JournalName>European journal of marketing </b:JournalName>
    <b:Year>1982</b:Year>
    <b:Pages>vol.18, number 4, p36-44</b:Pages>
    <b:RefOrder>38</b:RefOrder>
  </b:Source>
  <b:Source>
    <b:Tag>sak14</b:Tag>
    <b:SourceType>JournalArticle</b:SourceType>
    <b:Guid>{489E97E2-054C-446A-8AE0-E0B7FF12051C}</b:Guid>
    <b:Author>
      <b:Author>
        <b:Corporate>sakhei,afsheriand esmail</b:Corporate>
      </b:Author>
    </b:Author>
    <b:Title>service quality perimeters in internet banking system</b:Title>
    <b:Year>2014</b:Year>
    <b:RefOrder>39</b:RefOrder>
  </b:Source>
  <b:Source>
    <b:Tag>sul10</b:Tag>
    <b:SourceType>Book</b:SourceType>
    <b:Guid>{AE982F74-3914-48CF-A2C7-5F152FC0D4B7}</b:Guid>
    <b:Author>
      <b:Author>
        <b:NameList>
          <b:Person>
            <b:Last>sherman</b:Last>
          </b:Person>
        </b:NameList>
      </b:Author>
    </b:Author>
    <b:Year>1997</b:Year>
    <b:Title>store environment and consumer purchase behavior</b:Title>
    <b:Publisher>mediating role of consumer emotions.</b:Publisher>
    <b:RefOrder>40</b:RefOrder>
  </b:Source>
  <b:Source>
    <b:Tag>Neg09</b:Tag>
    <b:SourceType>JournalArticle</b:SourceType>
    <b:Guid>{05F0766B-50D9-4BC8-B414-42FDE311CFC2}</b:Guid>
    <b:Author>
      <b:Author>
        <b:NameList>
          <b:Person>
            <b:Last>Negi</b:Last>
          </b:Person>
        </b:NameList>
      </b:Author>
    </b:Author>
    <b:Title>Determine  customer satisfaction through perceived services quality</b:Title>
    <b:JournalName>International journal of mobile marketing</b:JournalName>
    <b:Year>2009</b:Year>
    <b:Pages>Vol4.62no1:p31-38</b:Pages>
    <b:RefOrder>41</b:RefOrder>
  </b:Source>
  <b:Source>
    <b:Tag>Dan12</b:Tag>
    <b:SourceType>JournalArticle</b:SourceType>
    <b:Guid>{B5B7679F-EAE1-4DD1-831E-2D591CFA933E}</b:Guid>
    <b:Author>
      <b:Author>
        <b:NameList>
          <b:Person>
            <b:Last>Auka</b:Last>
            <b:First>Daniel</b:First>
            <b:Middle>o.</b:Middle>
          </b:Person>
        </b:NameList>
      </b:Author>
    </b:Author>
    <b:Title>Service quality, satisfaction, perceived value and loyalty among customers in commercial  banking in Nakuru municipality kenya</b:Title>
    <b:JournalName>African journal of marketing management </b:JournalName>
    <b:Year>2012</b:Year>
    <b:Pages>Vol.4(5),pp.185-203</b:Pages>
    <b:RefOrder>42</b:RefOrder>
  </b:Source>
  <b:Source>
    <b:Tag>Sha12</b:Tag>
    <b:SourceType>Book</b:SourceType>
    <b:Guid>{CAE7E521-AAF8-4DDC-B62D-B9FB3B1C0352}</b:Guid>
    <b:Author>
      <b:Author>
        <b:NameList>
          <b:Person>
            <b:Last>Shah</b:Last>
            <b:First>A</b:First>
          </b:Person>
        </b:NameList>
      </b:Author>
    </b:Author>
    <b:Title>market research on factors affecting customers satisfaction in retail banking in vadodara, Gujarat, Western india</b:Title>
    <b:Year>2012</b:Year>
    <b:City>western india</b:City>
    <b:Publisher>EISSN 2277-4955;3(1)</b:Publisher>
    <b:RefOrder>43</b:RefOrder>
  </b:Source>
  <b:Source>
    <b:Tag>Nas11</b:Tag>
    <b:SourceType>JournalArticle</b:SourceType>
    <b:Guid>{0DA45329-003E-439A-9067-29B9A7540D97}</b:Guid>
    <b:Author>
      <b:Author>
        <b:Corporate>Naseem, A,sheikh, S  &amp;Malik, K</b:Corporate>
      </b:Author>
    </b:Author>
    <b:Title>Impact of employee satisfaction on success of orgnisation; relation between customers experience and employees satsifaction</b:Title>
    <b:Year>2011</b:Year>
    <b:JournalName>international journal of multidisciplinary science and engineering</b:JournalName>
    <b:Pages>2(5), 41-46</b:Pages>
    <b:RefOrder>44</b:RefOrder>
  </b:Source>
  <b:Source>
    <b:Tag>Ibo12</b:Tag>
    <b:SourceType>JournalArticle</b:SourceType>
    <b:Guid>{83F97FE6-5F83-468F-907A-397DB84C2DB1}</b:Guid>
    <b:Author>
      <b:Author>
        <b:Corporate>Ibok N. I., and Udofot P. O.</b:Corporate>
      </b:Author>
    </b:Author>
    <b:Title>customer retentionin micro finance banks; an analysis of drivers and inhibitors</b:Title>
    <b:JournalName>international journal of marketing studies</b:JournalName>
    <b:Year>2012</b:Year>
    <b:Pages>4(5), 74-80</b:Pages>
    <b:RefOrder>45</b:RefOrder>
  </b:Source>
  <b:Source>
    <b:Tag>tim07</b:Tag>
    <b:SourceType>JournalArticle</b:SourceType>
    <b:Guid>{29AC439A-3D8C-4936-9387-E961BE5BFE04}</b:Guid>
    <b:Author>
      <b:Author>
        <b:NameList>
          <b:Person>
            <b:Last>timothy</b:Last>
            <b:First>l.,</b:First>
            <b:Middle>bruce, K., Larzan, A. T., &amp;Jao, W.</b:Middle>
          </b:Person>
        </b:NameList>
      </b:Author>
    </b:Author>
    <b:Title>the value of different customer satisfaction and legality matrices in predicting customer retention; recommendation and share of wallet.</b:Title>
    <b:JournalName>journal of service quarterly</b:JournalName>
    <b:Year>2007</b:Year>
    <b:Pages>17(4);361-384</b:Pages>
    <b:RefOrder>46</b:RefOrder>
  </b:Source>
  <b:Source>
    <b:Tag>you171</b:Tag>
    <b:SourceType>Book</b:SourceType>
    <b:Guid>{7AB53CDF-37C6-4040-BC1D-EFDFC4ACAA31}</b:Guid>
    <b:Author>
      <b:Author>
        <b:NameList>
          <b:Person>
            <b:Last>Yousouf</b:Last>
          </b:Person>
        </b:NameList>
      </b:Author>
    </b:Author>
    <b:Year>2017</b:Year>
    <b:Title>asses the banking performance after the privatization and liberalization of the economy</b:Title>
    <b:City>pakistan</b:City>
    <b:RefOrder>47</b:RefOrder>
  </b:Source>
  <b:Source>
    <b:Tag>par5b</b:Tag>
    <b:SourceType>JournalArticle</b:SourceType>
    <b:Guid>{5D17700D-079D-4F4B-BFE9-E85802F6E2AA}</b:Guid>
    <b:Author>
      <b:Author>
        <b:Corporate>Parasuraman, a., Zeithaml, v. a., &amp;Berry, l. l.</b:Corporate>
      </b:Author>
    </b:Author>
    <b:Title>A conceptual model of service.</b:Title>
    <b:JournalName>Quality and its implications for future research.</b:JournalName>
    <b:Year>1985b</b:Year>
    <b:Pages>49(4)</b:Pages>
    <b:RefOrder>48</b:RefOrder>
  </b:Source>
  <b:Source>
    <b:Tag>kha101</b:Tag>
    <b:SourceType>JournalArticle</b:SourceType>
    <b:Guid>{4706F0C6-EBCB-415C-A529-111BAAE2FF2C}</b:Guid>
    <b:Author>
      <b:Author>
        <b:Corporate>Khalid, S.,&amp; Irshad,M. Z.</b:Corporate>
      </b:Author>
    </b:Author>
    <b:Title>job satisfaction among bank employees in punjab, paistan: A comparative study.</b:Title>
    <b:JournalName>European journal of social sciences,</b:JournalName>
    <b:Year>2010</b:Year>
    <b:Pages>17(4), 50-577</b:Pages>
    <b:RefOrder>49</b:RefOrder>
  </b:Source>
  <b:Source>
    <b:Tag>abb0a</b:Tag>
    <b:SourceType>Book</b:SourceType>
    <b:Guid>{4BFED999-4AA2-4042-8497-5CA7C60BEB05}</b:Guid>
    <b:Author>
      <b:Author>
        <b:Corporate>Abbot, P. and Lwaabamba, G.</b:Corporate>
      </b:Author>
    </b:Author>
    <b:Title>developing A customer centric organisation.</b:Title>
    <b:Year>2010a</b:Year>
    <b:City>kigali</b:City>
    <b:Publisher>institute of policy analysis and research</b:Publisher>
    <b:RefOrder>50</b:RefOrder>
  </b:Source>
  <b:Source>
    <b:Tag>yin03</b:Tag>
    <b:SourceType>JournalArticle</b:SourceType>
    <b:Guid>{9FE3FCCB-3C6B-49A6-9BE1-31D01D9F8727}</b:Guid>
    <b:Author>
      <b:Author>
        <b:NameList>
          <b:Person>
            <b:Last>Yang</b:Last>
          </b:Person>
        </b:NameList>
      </b:Author>
    </b:Author>
    <b:Year>2003</b:Year>
    <b:Title>service quality dimension of internet commercialising: an exploratory analysis.</b:Title>
    <b:JournalName>journal of service marketing</b:JournalName>
    <b:Pages>17(7), 685-700. doi.10.1108/08876040310501241</b:Pages>
    <b:RefOrder>51</b:RefOrder>
  </b:Source>
  <b:Source>
    <b:Tag>she67</b:Tag>
    <b:SourceType>Book</b:SourceType>
    <b:Guid>{E1824EF4-0F44-4C2A-8195-8B590B46EAC9}</b:Guid>
    <b:Author>
      <b:Author>
        <b:Corporate>Sheth &amp; Howards</b:Corporate>
      </b:Author>
    </b:Author>
    <b:Title>Definition of satisfaction</b:Title>
    <b:Year>1967</b:Year>
    <b:RefOrder>52</b:RefOrder>
  </b:Source>
  <b:Source>
    <b:Tag>Cro92</b:Tag>
    <b:SourceType>JournalArticle</b:SourceType>
    <b:Guid>{00D4521E-2368-4DC7-B41B-7754FDB833B0}</b:Guid>
    <b:Author>
      <b:Author>
        <b:Corporate>Cronin Jr, J. J., &amp; Taylor, S. A</b:Corporate>
      </b:Author>
    </b:Author>
    <b:Title> Measuring service quality.:a reexamination and extension</b:Title>
    <b:JournalName> Journal of marketing,</b:JournalName>
    <b:Year>1992</b:Year>
    <b:Pages>56(3), 55-68</b:Pages>
    <b:RefOrder>53</b:RefOrder>
  </b:Source>
  <b:Source>
    <b:Tag>Zei93</b:Tag>
    <b:SourceType>JournalArticle</b:SourceType>
    <b:Guid>{3BF73BC1-D7A6-45A7-8A7F-A7EA474F7FE3}</b:Guid>
    <b:Author>
      <b:Author>
        <b:NameList>
          <b:Person>
            <b:Last>Zeithaml</b:Last>
            <b:First>V.</b:First>
            <b:Middle>A., Berry, L. L., &amp; Parasuraman, A</b:Middle>
          </b:Person>
        </b:NameList>
      </b:Author>
    </b:Author>
    <b:Title>The nature and determinants of customer expectations of service</b:Title>
    <b:JournalName>Journal of the Academy of Marketing Science</b:JournalName>
    <b:Year>1993</b:Year>
    <b:Pages>21(1), 1-12.</b:Pages>
    <b:RefOrder>54</b:RefOrder>
  </b:Source>
  <b:Source>
    <b:Tag>Zei90</b:Tag>
    <b:SourceType>JournalArticle</b:SourceType>
    <b:Guid>{4948BD03-2620-4176-AA36-DCA1936DFA45}</b:Guid>
    <b:Author>
      <b:Author>
        <b:Corporate>Zeithaml, V. A., Parasuraman, A., &amp; Berry, L. L. .</b:Corporate>
      </b:Author>
    </b:Author>
    <b:Title>Delivering quality service: Balancing customer perceptions and expectations. Simon and Schuster.</b:Title>
    <b:Year>1990</b:Year>
    <b:RefOrder>55</b:RefOrder>
  </b:Source>
  <b:Source>
    <b:Tag>Hom09</b:Tag>
    <b:SourceType>JournalArticle</b:SourceType>
    <b:Guid>{6BC1697E-0977-45D3-9042-59125668D2C0}</b:Guid>
    <b:Author>
      <b:Author>
        <b:Corporate>Homburg, C., Wieseke, J., &amp; Hoyer, W. D. </b:Corporate>
      </b:Author>
    </b:Author>
    <b:Title> Social identity and the service-profit chain</b:Title>
    <b:JournalName>Journal of Marketing</b:JournalName>
    <b:Year>2009</b:Year>
    <b:Pages>73(2), 38-54.</b:Pages>
    <b:RefOrder>56</b:RefOrder>
  </b:Source>
  <b:Source>
    <b:Tag>Bol91</b:Tag>
    <b:SourceType>JournalArticle</b:SourceType>
    <b:Guid>{C71A3236-2768-43CA-B3FF-333E607A7FB2}</b:Guid>
    <b:Author>
      <b:Author>
        <b:Corporate>Bolton, R. N., &amp; Drew, J. H. . </b:Corporate>
      </b:Author>
    </b:Author>
    <b:Title>A multistage model of customers' assessments of service quality and value</b:Title>
    <b:JournalName> Journal of Consumer Research,</b:JournalName>
    <b:Year>1991</b:Year>
    <b:Pages>17(4), 375-384.</b:Pages>
    <b:RefOrder>57</b:RefOrder>
  </b:Source>
  <b:Source>
    <b:Tag>Placeholder3</b:Tag>
    <b:SourceType>Book</b:SourceType>
    <b:Guid>{42AA334E-B2E9-4262-B7C4-F3CBF9B66032}</b:Guid>
    <b:Author>
      <b:Author>
        <b:Corporate>bryman and bell</b:Corporate>
      </b:Author>
    </b:Author>
    <b:Year>2007</b:Year>
    <b:Title>longitudnal analysis of the impact service</b:Title>
    <b:RefOrder>58</b:RefOrder>
  </b:Source>
  <b:Source>
    <b:Tag>cro92</b:Tag>
    <b:SourceType>JournalArticle</b:SourceType>
    <b:Guid>{8EA18FAA-9B0C-4975-97BB-06A8996AA6B5}</b:Guid>
    <b:Author>
      <b:Author>
        <b:NameList>
          <b:Person>
            <b:Last>cronin</b:Last>
            <b:First>J.</b:First>
          </b:Person>
        </b:NameList>
      </b:Author>
    </b:Author>
    <b:Title>Measuring service quality:re-examination and Extension.</b:Title>
    <b:JournalName>The Journal of Marketing</b:JournalName>
    <b:Year>1992</b:Year>
    <b:Pages>vol.56, number3, 55-68</b:Pages>
    <b:RefOrder>59</b:RefOrder>
  </b:Source>
</b:Sourc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353D7B6-0393-47B1-930F-BDB3C178FCFA}">
  <ds:schemaRefs/>
</ds:datastoreItem>
</file>

<file path=docProps/app.xml><?xml version="1.0" encoding="utf-8"?>
<Properties xmlns="http://schemas.openxmlformats.org/officeDocument/2006/extended-properties" xmlns:vt="http://schemas.openxmlformats.org/officeDocument/2006/docPropsVTypes">
  <Template>Normal.dotm</Template>
  <Pages>68</Pages>
  <Words>16638</Words>
  <Characters>94839</Characters>
  <Lines>790</Lines>
  <Paragraphs>222</Paragraphs>
  <TotalTime>32</TotalTime>
  <ScaleCrop>false</ScaleCrop>
  <LinksUpToDate>false</LinksUpToDate>
  <CharactersWithSpaces>111255</CharactersWithSpaces>
  <Application>WPS Office_12.2.0.17562_F1E327BC-269C-435d-A152-05C5408002CA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2024-11-10T18:34:00Z</dcterms:created>
  <dc:creator>dell</dc:creator>
  <cp:lastModifiedBy>Admin</cp:lastModifiedBy>
  <cp:lastPrinted>2024-11-15T16:48:53Z</cp:lastPrinted>
  <dcterms:modified xsi:type="dcterms:W3CDTF">2024-11-15T16:49:47Z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7f96979e7cc6670ca17abbdd4ca5a9dea140e477baa0c5d9ce02fb33b112bf84</vt:lpwstr>
  </property>
  <property fmtid="{D5CDD505-2E9C-101B-9397-08002B2CF9AE}" pid="3" name="KSOProductBuildVer">
    <vt:lpwstr>1033-12.2.0.17562</vt:lpwstr>
  </property>
  <property fmtid="{D5CDD505-2E9C-101B-9397-08002B2CF9AE}" pid="4" name="ICV">
    <vt:lpwstr>901A6EF299114C1697BB3707AC27B8E4_13</vt:lpwstr>
  </property>
</Properties>
</file>