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AC3FE" w14:textId="77777777" w:rsidR="003E2B60" w:rsidRPr="00771001" w:rsidRDefault="003E2B60" w:rsidP="003E2B60">
      <w:pPr>
        <w:pStyle w:val="Heading1"/>
        <w:spacing w:line="360" w:lineRule="auto"/>
        <w:rPr>
          <w:rFonts w:eastAsia="Calibri"/>
        </w:rPr>
      </w:pPr>
      <w:bookmarkStart w:id="0" w:name="_Toc182496001"/>
      <w:r w:rsidRPr="00771001">
        <w:rPr>
          <w:rFonts w:eastAsia="Calibri"/>
        </w:rPr>
        <w:t>ABSTRACT</w:t>
      </w:r>
      <w:bookmarkEnd w:id="0"/>
    </w:p>
    <w:p w14:paraId="4A8DAA42" w14:textId="77777777" w:rsidR="003E2B60" w:rsidRDefault="003E2B60" w:rsidP="003E2B60">
      <w:pPr>
        <w:spacing w:before="120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The study is to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asses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the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determinants </w:t>
      </w:r>
      <w:r>
        <w:rPr>
          <w:rFonts w:ascii="Times New Roman" w:eastAsia="Calibri" w:hAnsi="Times New Roman" w:cs="Times New Roman"/>
          <w:sz w:val="24"/>
          <w:szCs w:val="24"/>
        </w:rPr>
        <w:t>that affect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>
        <w:rPr>
          <w:rFonts w:ascii="Times New Roman" w:eastAsia="Calibri" w:hAnsi="Times New Roman" w:cs="Times New Roman"/>
          <w:sz w:val="24"/>
          <w:szCs w:val="24"/>
        </w:rPr>
        <w:t xml:space="preserve">maize value chain </w:t>
      </w:r>
      <w:r w:rsidRPr="009C48FE">
        <w:rPr>
          <w:rFonts w:ascii="Times New Roman" w:eastAsia="Calibri" w:hAnsi="Times New Roman" w:cs="Times New Roman"/>
          <w:sz w:val="24"/>
          <w:szCs w:val="24"/>
        </w:rPr>
        <w:t>sustainability</w:t>
      </w:r>
      <w:r>
        <w:rPr>
          <w:rFonts w:ascii="Times New Roman" w:eastAsia="Calibri" w:hAnsi="Times New Roman" w:cs="Times New Roman"/>
          <w:sz w:val="24"/>
          <w:szCs w:val="24"/>
        </w:rPr>
        <w:t xml:space="preserve"> in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Katavi region of Tanzania. The research was motivated by a gap in existing knowledge regarding how specific factors, such as agricultural inputs, market access, and agronomic practices, </w:t>
      </w:r>
      <w:r>
        <w:rPr>
          <w:rFonts w:ascii="Times New Roman" w:eastAsia="Calibri" w:hAnsi="Times New Roman" w:cs="Times New Roman"/>
          <w:sz w:val="24"/>
          <w:szCs w:val="24"/>
        </w:rPr>
        <w:t>affects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sustainability in this region. The objectives were to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asses</w:t>
      </w:r>
      <w:proofErr w:type="spellEnd"/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>
        <w:rPr>
          <w:rFonts w:ascii="Times New Roman" w:eastAsia="Calibri" w:hAnsi="Times New Roman" w:cs="Times New Roman"/>
          <w:sz w:val="24"/>
          <w:szCs w:val="24"/>
        </w:rPr>
        <w:t>influence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of inputs on maize valu</w:t>
      </w:r>
      <w:r>
        <w:rPr>
          <w:rFonts w:ascii="Times New Roman" w:eastAsia="Calibri" w:hAnsi="Times New Roman" w:cs="Times New Roman"/>
          <w:sz w:val="24"/>
          <w:szCs w:val="24"/>
        </w:rPr>
        <w:t>e chain sustainability, evaluate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the role of market access, and analyze the impact of agronomic practices. The study aimed to address gaps in understanding </w:t>
      </w:r>
      <w:r>
        <w:rPr>
          <w:rFonts w:ascii="Times New Roman" w:eastAsia="Calibri" w:hAnsi="Times New Roman" w:cs="Times New Roman"/>
          <w:sz w:val="24"/>
          <w:szCs w:val="24"/>
        </w:rPr>
        <w:t>in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focusing specifically on the Katavi region, which presented unique challenges and opportu</w:t>
      </w:r>
      <w:r>
        <w:rPr>
          <w:rFonts w:ascii="Times New Roman" w:eastAsia="Calibri" w:hAnsi="Times New Roman" w:cs="Times New Roman"/>
          <w:sz w:val="24"/>
          <w:szCs w:val="24"/>
        </w:rPr>
        <w:t xml:space="preserve">nities compared to other areas. 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A mixed-methods approach was adopted, integrating both qualitative and quantitative data collection methods to ensure a comprehensive understanding of the issue. Quantitative data were gathered through surveys, while qualitative data were collected via interviews and focus group discussions. This methodological approach allowed for a nuanced exploration of the research objectives. The quantitative analysis examined how variables such as seed quality, fertilizer use, market access, and agronomic practices </w:t>
      </w:r>
      <w:r>
        <w:rPr>
          <w:rFonts w:ascii="Times New Roman" w:eastAsia="Calibri" w:hAnsi="Times New Roman" w:cs="Times New Roman"/>
          <w:sz w:val="24"/>
          <w:szCs w:val="24"/>
        </w:rPr>
        <w:t xml:space="preserve">affected </w:t>
      </w:r>
      <w:r w:rsidRPr="009C48FE">
        <w:rPr>
          <w:rFonts w:ascii="Times New Roman" w:eastAsia="Calibri" w:hAnsi="Times New Roman" w:cs="Times New Roman"/>
          <w:sz w:val="24"/>
          <w:szCs w:val="24"/>
        </w:rPr>
        <w:t>sustainability. The research model in</w:t>
      </w:r>
      <w:r>
        <w:rPr>
          <w:rFonts w:ascii="Times New Roman" w:eastAsia="Calibri" w:hAnsi="Times New Roman" w:cs="Times New Roman"/>
          <w:sz w:val="24"/>
          <w:szCs w:val="24"/>
        </w:rPr>
        <w:t xml:space="preserve">corporated dependent variables as </w:t>
      </w:r>
      <w:r w:rsidRPr="009C48FE">
        <w:rPr>
          <w:rFonts w:ascii="Times New Roman" w:eastAsia="Calibri" w:hAnsi="Times New Roman" w:cs="Times New Roman"/>
          <w:sz w:val="24"/>
          <w:szCs w:val="24"/>
        </w:rPr>
        <w:t>sustaina</w:t>
      </w:r>
      <w:r>
        <w:rPr>
          <w:rFonts w:ascii="Times New Roman" w:eastAsia="Calibri" w:hAnsi="Times New Roman" w:cs="Times New Roman"/>
          <w:sz w:val="24"/>
          <w:szCs w:val="24"/>
        </w:rPr>
        <w:t xml:space="preserve">bility and independent variables as </w:t>
      </w:r>
      <w:r w:rsidRPr="009C48FE">
        <w:rPr>
          <w:rFonts w:ascii="Times New Roman" w:eastAsia="Calibri" w:hAnsi="Times New Roman" w:cs="Times New Roman"/>
          <w:sz w:val="24"/>
          <w:szCs w:val="24"/>
        </w:rPr>
        <w:t>agricultural inputs, market ac</w:t>
      </w:r>
      <w:r>
        <w:rPr>
          <w:rFonts w:ascii="Times New Roman" w:eastAsia="Calibri" w:hAnsi="Times New Roman" w:cs="Times New Roman"/>
          <w:sz w:val="24"/>
          <w:szCs w:val="24"/>
        </w:rPr>
        <w:t xml:space="preserve">cess, and agronomic practices. 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The qualitative data underscored the importance of stakeholder collaboration in overcoming region-specific challenges, providing insights into the interactions among different actors in the value chain. This comprehensive data analysis presented a </w:t>
      </w:r>
      <w:proofErr w:type="gramStart"/>
      <w:r w:rsidRPr="009C48FE">
        <w:rPr>
          <w:rFonts w:ascii="Times New Roman" w:eastAsia="Calibri" w:hAnsi="Times New Roman" w:cs="Times New Roman"/>
          <w:sz w:val="24"/>
          <w:szCs w:val="24"/>
        </w:rPr>
        <w:t>clear factors</w:t>
      </w:r>
      <w:proofErr w:type="gramEnd"/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that affecting</w:t>
      </w:r>
      <w:r w:rsidRPr="009C48FE">
        <w:rPr>
          <w:rFonts w:ascii="Times New Roman" w:eastAsia="Calibri" w:hAnsi="Times New Roman" w:cs="Times New Roman"/>
          <w:sz w:val="24"/>
          <w:szCs w:val="24"/>
        </w:rPr>
        <w:t xml:space="preserve"> sustainability in the </w:t>
      </w:r>
      <w:r>
        <w:rPr>
          <w:rFonts w:ascii="Times New Roman" w:eastAsia="Calibri" w:hAnsi="Times New Roman" w:cs="Times New Roman"/>
          <w:sz w:val="24"/>
          <w:szCs w:val="24"/>
        </w:rPr>
        <w:t xml:space="preserve">Katavi </w:t>
      </w:r>
      <w:r w:rsidRPr="009C48FE">
        <w:rPr>
          <w:rFonts w:ascii="Times New Roman" w:eastAsia="Calibri" w:hAnsi="Times New Roman" w:cs="Times New Roman"/>
          <w:sz w:val="24"/>
          <w:szCs w:val="24"/>
        </w:rPr>
        <w:t>region. The study concluded that improving inputs, market access, and agronomic practices is essential for enhancing sustainability in Katavi. It recommended region-specific policies and interventions for stakeholders, aiming to strengthen the resilience and sustainability of the maize value chain, with potential benefits for local communities and Tanzania’s broader economy.</w:t>
      </w:r>
    </w:p>
    <w:p w14:paraId="0BD637AA" w14:textId="77777777" w:rsidR="009129DD" w:rsidRDefault="009129DD"/>
    <w:sectPr w:rsidR="009129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B60"/>
    <w:rsid w:val="002B33B7"/>
    <w:rsid w:val="003917D6"/>
    <w:rsid w:val="003E2B60"/>
    <w:rsid w:val="0054363F"/>
    <w:rsid w:val="005E7669"/>
    <w:rsid w:val="00654DB5"/>
    <w:rsid w:val="007C521B"/>
    <w:rsid w:val="00845E6B"/>
    <w:rsid w:val="00864317"/>
    <w:rsid w:val="009129DD"/>
    <w:rsid w:val="00A50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43C116"/>
  <w15:chartTrackingRefBased/>
  <w15:docId w15:val="{CC7E7B34-27D8-4EEE-A14F-81D0A3B8A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2B60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E2B6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2B6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2B60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2B60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2B60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2B60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2B60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2B60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2B60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2B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2B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2B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2B6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2B6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2B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2B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2B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2B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2B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E2B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2B60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E2B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2B60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E2B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2B60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E2B6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2B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2B6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2B6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306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2026-02-24T09:34:00Z</dcterms:created>
  <dcterms:modified xsi:type="dcterms:W3CDTF">2026-02-24T09:38:00Z</dcterms:modified>
</cp:coreProperties>
</file>