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84202" w:rsidRPr="00031FB1" w:rsidRDefault="00884202" w:rsidP="00884202">
      <w:pPr>
        <w:spacing w:before="100" w:beforeAutospacing="1" w:after="100" w:afterAutospacing="1" w:line="240" w:lineRule="auto"/>
        <w:jc w:val="center"/>
        <w:rPr>
          <w:rFonts w:ascii="Times New Roman" w:eastAsia="Times New Roman" w:hAnsi="Times New Roman" w:cs="Times New Roman"/>
          <w:b/>
          <w:bCs/>
          <w:sz w:val="24"/>
          <w:szCs w:val="24"/>
        </w:rPr>
      </w:pPr>
      <w:r w:rsidRPr="00031FB1">
        <w:rPr>
          <w:rFonts w:ascii="Times New Roman" w:eastAsia="Times New Roman" w:hAnsi="Times New Roman" w:cs="Times New Roman"/>
          <w:b/>
          <w:bCs/>
          <w:sz w:val="24"/>
          <w:szCs w:val="24"/>
        </w:rPr>
        <w:t>ABSTRACT</w:t>
      </w:r>
    </w:p>
    <w:p w:rsidR="00884202" w:rsidRPr="00031FB1" w:rsidRDefault="00884202" w:rsidP="00884202">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This study investigated</w:t>
      </w:r>
      <w:r w:rsidRPr="00031FB1">
        <w:rPr>
          <w:rFonts w:ascii="Times New Roman" w:eastAsia="Times New Roman" w:hAnsi="Times New Roman" w:cs="Times New Roman"/>
          <w:sz w:val="24"/>
          <w:szCs w:val="24"/>
        </w:rPr>
        <w:t xml:space="preserve"> the impact of procurement best practices on operational efficiency in the telecommunications industry in Tanzania, focusing on Tanzania Telecommunications Comp</w:t>
      </w:r>
      <w:r>
        <w:rPr>
          <w:rFonts w:ascii="Times New Roman" w:eastAsia="Times New Roman" w:hAnsi="Times New Roman" w:cs="Times New Roman"/>
          <w:sz w:val="24"/>
          <w:szCs w:val="24"/>
        </w:rPr>
        <w:t>any Limited (TTCL). The study was</w:t>
      </w:r>
      <w:r w:rsidRPr="00031FB1">
        <w:rPr>
          <w:rFonts w:ascii="Times New Roman" w:eastAsia="Times New Roman" w:hAnsi="Times New Roman" w:cs="Times New Roman"/>
          <w:sz w:val="24"/>
          <w:szCs w:val="24"/>
        </w:rPr>
        <w:t xml:space="preserve"> guided by two key theories: </w:t>
      </w:r>
      <w:proofErr w:type="gramStart"/>
      <w:r w:rsidRPr="00031FB1">
        <w:rPr>
          <w:rFonts w:ascii="Times New Roman" w:eastAsia="Times New Roman" w:hAnsi="Times New Roman" w:cs="Times New Roman"/>
          <w:sz w:val="24"/>
          <w:szCs w:val="24"/>
        </w:rPr>
        <w:t>the</w:t>
      </w:r>
      <w:proofErr w:type="gramEnd"/>
      <w:r w:rsidRPr="00031FB1">
        <w:rPr>
          <w:rFonts w:ascii="Times New Roman" w:eastAsia="Times New Roman" w:hAnsi="Times New Roman" w:cs="Times New Roman"/>
          <w:sz w:val="24"/>
          <w:szCs w:val="24"/>
        </w:rPr>
        <w:t xml:space="preserve"> Resource-Based View (RBV) and Transaction Cost Economics (TCE). It examines three critical areas: supplier selection processes, supplier relationship management (SRM), and compliance with regulatory standards. A quantitative methodology was employed, using structured, closed-ended questionnaires to collect data from a sample of 70 participants, selected through simple random sampling.</w:t>
      </w:r>
    </w:p>
    <w:p w:rsidR="00884202" w:rsidRPr="00031FB1" w:rsidRDefault="00884202" w:rsidP="00884202">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findings found</w:t>
      </w:r>
      <w:r w:rsidRPr="00031FB1">
        <w:rPr>
          <w:rFonts w:ascii="Times New Roman" w:eastAsia="Times New Roman" w:hAnsi="Times New Roman" w:cs="Times New Roman"/>
          <w:sz w:val="24"/>
          <w:szCs w:val="24"/>
        </w:rPr>
        <w:t xml:space="preserve"> that the supplier selection process significantly enhances operational efficiency at TTCL, with clear criteria, supplier diversity, and rigorous evaluation contributing to improved performance. Supplier innovation further supports TTCL’s flexibility and competitiveness. </w:t>
      </w:r>
      <w:r>
        <w:rPr>
          <w:rFonts w:ascii="Times New Roman" w:eastAsia="Times New Roman" w:hAnsi="Times New Roman" w:cs="Times New Roman"/>
          <w:sz w:val="24"/>
          <w:szCs w:val="24"/>
        </w:rPr>
        <w:t xml:space="preserve">Additionally, </w:t>
      </w:r>
      <w:r w:rsidRPr="00031FB1">
        <w:rPr>
          <w:rFonts w:ascii="Times New Roman" w:eastAsia="Times New Roman" w:hAnsi="Times New Roman" w:cs="Times New Roman"/>
          <w:sz w:val="24"/>
          <w:szCs w:val="24"/>
        </w:rPr>
        <w:t>Supplier Relationship Management (SRM) also plays a pivotal role in improving operational outcomes. Practices such as mutual trust, effective communication, long-term partnerships, and conflict resolution help foster strong supplier relationships that enhance service quality, cost control, and operational efficiency.</w:t>
      </w:r>
    </w:p>
    <w:p w:rsidR="00884202" w:rsidRPr="00031FB1" w:rsidRDefault="00884202" w:rsidP="00884202">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Moreover, c</w:t>
      </w:r>
      <w:r w:rsidRPr="00031FB1">
        <w:rPr>
          <w:rFonts w:ascii="Times New Roman" w:eastAsia="Times New Roman" w:hAnsi="Times New Roman" w:cs="Times New Roman"/>
          <w:sz w:val="24"/>
          <w:szCs w:val="24"/>
        </w:rPr>
        <w:t>ompliance with regulatory standards, particularly regarding safety, environmental responsibility, and ethical practices, is shown to be essential for mitigating risks, avoiding legal penalties, and ensuring long-term sustainability. Adhering to regulatory standards helps TTCL maintain operational accountability and consistency.</w:t>
      </w:r>
    </w:p>
    <w:p w:rsidR="00884202" w:rsidRPr="00031FB1" w:rsidRDefault="00884202" w:rsidP="00884202">
      <w:pPr>
        <w:spacing w:before="100" w:beforeAutospacing="1" w:after="100" w:afterAutospacing="1"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Finally</w:t>
      </w:r>
      <w:r w:rsidRPr="00031FB1">
        <w:rPr>
          <w:rFonts w:ascii="Times New Roman" w:eastAsia="Times New Roman" w:hAnsi="Times New Roman" w:cs="Times New Roman"/>
          <w:sz w:val="24"/>
          <w:szCs w:val="24"/>
        </w:rPr>
        <w:t>, this study extends existing knowledge by highlighting how procurement best practices</w:t>
      </w:r>
      <w:r>
        <w:rPr>
          <w:rFonts w:ascii="Times New Roman" w:eastAsia="Times New Roman" w:hAnsi="Times New Roman" w:cs="Times New Roman"/>
          <w:sz w:val="24"/>
          <w:szCs w:val="24"/>
        </w:rPr>
        <w:t xml:space="preserve"> </w:t>
      </w:r>
      <w:r w:rsidRPr="00031FB1">
        <w:rPr>
          <w:rFonts w:ascii="Times New Roman" w:eastAsia="Times New Roman" w:hAnsi="Times New Roman" w:cs="Times New Roman"/>
          <w:sz w:val="24"/>
          <w:szCs w:val="24"/>
        </w:rPr>
        <w:t>supplier selection, SRM, and regulatory compliance</w:t>
      </w:r>
      <w:r>
        <w:rPr>
          <w:rFonts w:ascii="Times New Roman" w:eastAsia="Times New Roman" w:hAnsi="Times New Roman" w:cs="Times New Roman"/>
          <w:sz w:val="24"/>
          <w:szCs w:val="24"/>
        </w:rPr>
        <w:t xml:space="preserve"> </w:t>
      </w:r>
      <w:r w:rsidRPr="00031FB1">
        <w:rPr>
          <w:rFonts w:ascii="Times New Roman" w:eastAsia="Times New Roman" w:hAnsi="Times New Roman" w:cs="Times New Roman"/>
          <w:sz w:val="24"/>
          <w:szCs w:val="24"/>
        </w:rPr>
        <w:t xml:space="preserve">collectively enhances operational efficiency within the telecommunications sector. Based on these findings, the study recommends that TTCL further improve supplier selection criteria, diversify its supplier base, strengthen SRM practices, and ensure </w:t>
      </w:r>
      <w:r>
        <w:rPr>
          <w:rFonts w:ascii="Times New Roman" w:eastAsia="Times New Roman" w:hAnsi="Times New Roman" w:cs="Times New Roman"/>
          <w:sz w:val="24"/>
          <w:szCs w:val="24"/>
        </w:rPr>
        <w:t>strong</w:t>
      </w:r>
      <w:r w:rsidRPr="00031FB1">
        <w:rPr>
          <w:rFonts w:ascii="Times New Roman" w:eastAsia="Times New Roman" w:hAnsi="Times New Roman" w:cs="Times New Roman"/>
          <w:sz w:val="24"/>
          <w:szCs w:val="24"/>
        </w:rPr>
        <w:t xml:space="preserve"> compliance with regulatory standards. These measures will optimize operational performance, enabling TTCL to achieve better service delivery and sustained growth.</w:t>
      </w:r>
    </w:p>
    <w:p w:rsidR="00884202" w:rsidRDefault="00884202" w:rsidP="00884202">
      <w:pPr>
        <w:rPr>
          <w:rFonts w:ascii="Times New Roman" w:hAnsi="Times New Roman" w:cs="Times New Roman"/>
          <w:b/>
          <w:bCs/>
          <w:sz w:val="24"/>
          <w:szCs w:val="24"/>
        </w:rPr>
      </w:pPr>
    </w:p>
    <w:p w:rsidR="0036074B" w:rsidRDefault="0036074B">
      <w:bookmarkStart w:id="0" w:name="_GoBack"/>
      <w:bookmarkEnd w:id="0"/>
    </w:p>
    <w:sectPr w:rsidR="0036074B">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84202"/>
    <w:rsid w:val="0036074B"/>
    <w:rsid w:val="0088420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97FE768-0C3F-4D52-B373-A44A9B319F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8420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324</Words>
  <Characters>1853</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2026-02-27T10:23:00Z</dcterms:created>
  <dcterms:modified xsi:type="dcterms:W3CDTF">2026-02-27T10:24:00Z</dcterms:modified>
</cp:coreProperties>
</file>